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240" w:lineRule="auto"/>
        <w:rPr>
          <w:b w:val="0"/>
          <w:sz w:val="16"/>
        </w:rPr>
      </w:pPr>
      <w:r>
        <w:rPr>
          <w:b w:val="0"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-212090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3"/>
        <w:spacing w:line="240" w:lineRule="auto"/>
        <w:rPr>
          <w:b w:val="0"/>
          <w:sz w:val="16"/>
        </w:rPr>
      </w:pPr>
    </w:p>
    <w:p>
      <w:pPr>
        <w:pStyle w:val="a3"/>
        <w:rPr>
          <w:b w:val="0"/>
          <w:sz w:val="32"/>
        </w:rPr>
      </w:pPr>
      <w:r>
        <w:rPr>
          <w:b w:val="0"/>
          <w:sz w:val="32"/>
        </w:rPr>
        <w:t>ПСКОВСКАЯ ОБЛАСТЬ</w:t>
      </w:r>
    </w:p>
    <w:p>
      <w:pPr>
        <w:spacing w:line="480" w:lineRule="auto"/>
        <w:jc w:val="center"/>
        <w:rPr>
          <w:b/>
          <w:sz w:val="22"/>
        </w:rPr>
      </w:pPr>
      <w:r>
        <w:rPr>
          <w:b/>
          <w:sz w:val="28"/>
        </w:rPr>
        <w:t>АДМИНИСТРАЦИЯ  ПСКОВСКОГО  РАЙОНА</w:t>
      </w:r>
    </w:p>
    <w:p>
      <w:pPr>
        <w:pStyle w:val="1"/>
        <w:rPr>
          <w:bCs/>
          <w:spacing w:val="42"/>
          <w:szCs w:val="32"/>
        </w:rPr>
      </w:pPr>
      <w:r>
        <w:rPr>
          <w:bCs/>
          <w:spacing w:val="42"/>
          <w:szCs w:val="32"/>
        </w:rPr>
        <w:t>ПОСТАНОВЛЕНИЕ</w:t>
      </w:r>
    </w:p>
    <w:p/>
    <w:p>
      <w:pPr>
        <w:rPr>
          <w:sz w:val="28"/>
        </w:rPr>
      </w:pPr>
    </w:p>
    <w:p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12 июля 2023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123</w:t>
      </w:r>
      <w:bookmarkStart w:id="0" w:name="_GoBack"/>
      <w:bookmarkEnd w:id="0"/>
    </w:p>
    <w:p>
      <w:pPr>
        <w:jc w:val="center"/>
        <w:rPr>
          <w:szCs w:val="24"/>
        </w:rPr>
      </w:pPr>
      <w:r>
        <w:rPr>
          <w:szCs w:val="24"/>
        </w:rPr>
        <w:t>г. Псков</w:t>
      </w:r>
    </w:p>
    <w:p>
      <w:pPr>
        <w:ind w:left="720"/>
      </w:pPr>
    </w:p>
    <w:p>
      <w:pPr>
        <w:ind w:left="720"/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Псковского района</w:t>
      </w:r>
    </w:p>
    <w:p>
      <w:pPr>
        <w:jc w:val="center"/>
        <w:rPr>
          <w:b/>
          <w:sz w:val="27"/>
          <w:szCs w:val="27"/>
        </w:rPr>
      </w:pPr>
      <w:r>
        <w:rPr>
          <w:b/>
          <w:sz w:val="26"/>
          <w:szCs w:val="26"/>
        </w:rPr>
        <w:t>от 09.10.2020 №136 «</w:t>
      </w:r>
      <w:r>
        <w:rPr>
          <w:b/>
          <w:sz w:val="27"/>
          <w:szCs w:val="27"/>
        </w:rPr>
        <w:t>Об уточнении перечня избирательных участков, участков референдума, образованных на территории муниципального образования «Псковский район» для проведения всех выборов,</w:t>
      </w: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референдумов Псковской области и местных референдумов»</w:t>
      </w:r>
    </w:p>
    <w:p>
      <w:pPr>
        <w:rPr>
          <w:rFonts w:ascii="Arial" w:hAnsi="Arial" w:cs="Arial"/>
          <w:sz w:val="27"/>
          <w:szCs w:val="27"/>
        </w:rPr>
      </w:pPr>
    </w:p>
    <w:p>
      <w:pPr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ст.19 Федерального закона от 12.06.2002г. № 67-ФЗ «Об основных гарантиях избирательных прав и права на участие в референдуме граждан Российской Федерации», в соответствии со ст.16 Закона Псковской области от 01.08.2003г. №295-ОЗ «Избирательный коде</w:t>
      </w:r>
      <w:proofErr w:type="gramStart"/>
      <w:r>
        <w:rPr>
          <w:sz w:val="26"/>
          <w:szCs w:val="26"/>
        </w:rPr>
        <w:t>кс Пск</w:t>
      </w:r>
      <w:proofErr w:type="gramEnd"/>
      <w:r>
        <w:rPr>
          <w:sz w:val="26"/>
          <w:szCs w:val="26"/>
        </w:rPr>
        <w:t>овской области», по согласованию с Территориальной избирательной комиссией Псковского района:</w:t>
      </w:r>
    </w:p>
    <w:p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Псковского района от 09.10.2020 №136 «Об уточнении перечня избирательных участков, участков референдума, образованных на территории муниципального образования «Псковский район» для проведения всех выборов, референдумов Псковской области и местных референдумов» следующие изменения:</w:t>
      </w:r>
    </w:p>
    <w:p>
      <w:pPr>
        <w:pStyle w:val="a7"/>
        <w:numPr>
          <w:ilvl w:val="1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1. Завеличенская волость пункт 5 изложить в новой редакции:</w:t>
      </w:r>
    </w:p>
    <w:p>
      <w:pPr>
        <w:pStyle w:val="a7"/>
        <w:ind w:left="567"/>
        <w:jc w:val="both"/>
        <w:rPr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4394"/>
        <w:gridCol w:w="2552"/>
        <w:gridCol w:w="1134"/>
      </w:tblGrid>
      <w:tr>
        <w:trPr>
          <w:trHeight w:val="987"/>
        </w:trPr>
        <w:tc>
          <w:tcPr>
            <w:tcW w:w="56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4394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Деревня Борисовичи улицы Балтийская, Венская дома №№1-6, Сержанта Коровина, Радужная квартал 2, Радужная квартал 3, Радужная квартал 4.</w:t>
            </w:r>
          </w:p>
        </w:tc>
        <w:tc>
          <w:tcPr>
            <w:tcW w:w="2552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МБОУ «Псковская инженерно-лингвистическая гимназия» (школа №27), д. Борисовичи, ул. Балтийская, д.5Б</w:t>
            </w:r>
          </w:p>
        </w:tc>
        <w:tc>
          <w:tcPr>
            <w:tcW w:w="1134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590-708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6. Писковичская волость пункт 18 изложить в новой редакции:</w:t>
      </w:r>
    </w:p>
    <w:p>
      <w:pPr>
        <w:ind w:left="567"/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8"/>
        <w:gridCol w:w="4394"/>
        <w:gridCol w:w="2268"/>
        <w:gridCol w:w="1418"/>
      </w:tblGrid>
      <w:tr>
        <w:tc>
          <w:tcPr>
            <w:tcW w:w="567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73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4394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Ваулино, Великое Село, </w:t>
            </w:r>
            <w:proofErr w:type="gramStart"/>
            <w:r>
              <w:rPr>
                <w:szCs w:val="24"/>
              </w:rPr>
              <w:t>Верхние</w:t>
            </w:r>
            <w:proofErr w:type="gramEnd"/>
            <w:r>
              <w:rPr>
                <w:szCs w:val="24"/>
              </w:rPr>
              <w:t xml:space="preserve"> Галковичи, Котово, Купровщина, </w:t>
            </w:r>
            <w:proofErr w:type="spellStart"/>
            <w:r>
              <w:rPr>
                <w:szCs w:val="24"/>
              </w:rPr>
              <w:t>Лухново</w:t>
            </w:r>
            <w:proofErr w:type="spellEnd"/>
            <w:r>
              <w:rPr>
                <w:szCs w:val="24"/>
              </w:rPr>
              <w:t>, Нижние Галковичи, Портянниково, Солоново.</w:t>
            </w:r>
          </w:p>
        </w:tc>
        <w:tc>
          <w:tcPr>
            <w:tcW w:w="226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Помещение </w:t>
            </w:r>
          </w:p>
          <w:p>
            <w:pPr>
              <w:pStyle w:val="a5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Ваулинского</w:t>
            </w:r>
            <w:proofErr w:type="spellEnd"/>
            <w:r>
              <w:rPr>
                <w:szCs w:val="24"/>
              </w:rPr>
              <w:t xml:space="preserve"> КДЦ,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д. Ваулино, ул. Центральная, д.7</w:t>
            </w:r>
          </w:p>
        </w:tc>
        <w:tc>
          <w:tcPr>
            <w:tcW w:w="141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9116946089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раздел 11. Ядровская волость пункт 34 изложить в новой редакции:</w:t>
      </w:r>
    </w:p>
    <w:p>
      <w:pPr>
        <w:pStyle w:val="a7"/>
        <w:ind w:left="567"/>
        <w:jc w:val="both"/>
        <w:rPr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78"/>
        <w:gridCol w:w="4390"/>
        <w:gridCol w:w="2150"/>
        <w:gridCol w:w="1536"/>
      </w:tblGrid>
      <w:tr>
        <w:tc>
          <w:tcPr>
            <w:tcW w:w="631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7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4390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Большая </w:t>
            </w:r>
            <w:proofErr w:type="spellStart"/>
            <w:r>
              <w:rPr>
                <w:szCs w:val="24"/>
              </w:rPr>
              <w:t>Жадунка</w:t>
            </w:r>
            <w:proofErr w:type="spellEnd"/>
            <w:r>
              <w:rPr>
                <w:szCs w:val="24"/>
              </w:rPr>
              <w:t xml:space="preserve">, Большое </w:t>
            </w:r>
            <w:proofErr w:type="spellStart"/>
            <w:r>
              <w:rPr>
                <w:szCs w:val="24"/>
              </w:rPr>
              <w:t>Захново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Будник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Василево</w:t>
            </w:r>
            <w:proofErr w:type="spellEnd"/>
            <w:r>
              <w:rPr>
                <w:szCs w:val="24"/>
              </w:rPr>
              <w:t xml:space="preserve">, Горнево, Жуково, Кашеварово, Клишово, </w:t>
            </w:r>
            <w:proofErr w:type="spellStart"/>
            <w:r>
              <w:rPr>
                <w:szCs w:val="24"/>
              </w:rPr>
              <w:t>Лодышкино</w:t>
            </w:r>
            <w:proofErr w:type="spellEnd"/>
            <w:r>
              <w:rPr>
                <w:szCs w:val="24"/>
              </w:rPr>
              <w:t xml:space="preserve">, Ложнево, Луни, </w:t>
            </w:r>
            <w:proofErr w:type="spellStart"/>
            <w:r>
              <w:rPr>
                <w:szCs w:val="24"/>
              </w:rPr>
              <w:t>Мазилино</w:t>
            </w:r>
            <w:proofErr w:type="spellEnd"/>
            <w:r>
              <w:rPr>
                <w:szCs w:val="24"/>
              </w:rPr>
              <w:t xml:space="preserve">, Малая </w:t>
            </w:r>
            <w:proofErr w:type="spellStart"/>
            <w:r>
              <w:rPr>
                <w:szCs w:val="24"/>
              </w:rPr>
              <w:t>Жадунка</w:t>
            </w:r>
            <w:proofErr w:type="spellEnd"/>
            <w:r>
              <w:rPr>
                <w:szCs w:val="24"/>
              </w:rPr>
              <w:t xml:space="preserve">, Малая </w:t>
            </w:r>
            <w:proofErr w:type="spellStart"/>
            <w:r>
              <w:rPr>
                <w:szCs w:val="24"/>
              </w:rPr>
              <w:t>Кебь</w:t>
            </w:r>
            <w:proofErr w:type="spellEnd"/>
            <w:r>
              <w:rPr>
                <w:szCs w:val="24"/>
              </w:rPr>
              <w:t xml:space="preserve">, Песчанка, Поддубье, </w:t>
            </w:r>
            <w:proofErr w:type="spellStart"/>
            <w:r>
              <w:rPr>
                <w:szCs w:val="24"/>
              </w:rPr>
              <w:t>Пожнище</w:t>
            </w:r>
            <w:proofErr w:type="spellEnd"/>
            <w:r>
              <w:rPr>
                <w:szCs w:val="24"/>
              </w:rPr>
              <w:t xml:space="preserve">, Похвальщина, Приборок, Рябово, </w:t>
            </w:r>
            <w:proofErr w:type="spellStart"/>
            <w:r>
              <w:rPr>
                <w:szCs w:val="24"/>
              </w:rPr>
              <w:t>Серебрянник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Соево</w:t>
            </w:r>
            <w:proofErr w:type="spellEnd"/>
            <w:r>
              <w:rPr>
                <w:szCs w:val="24"/>
              </w:rPr>
              <w:t xml:space="preserve">, Старухино, Устье, </w:t>
            </w:r>
            <w:proofErr w:type="spellStart"/>
            <w:r>
              <w:rPr>
                <w:szCs w:val="24"/>
              </w:rPr>
              <w:t>Фромино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Хахино</w:t>
            </w:r>
            <w:proofErr w:type="spellEnd"/>
            <w:r>
              <w:rPr>
                <w:szCs w:val="24"/>
              </w:rPr>
              <w:t xml:space="preserve">, Холстово, </w:t>
            </w:r>
            <w:proofErr w:type="spellStart"/>
            <w:r>
              <w:rPr>
                <w:szCs w:val="24"/>
              </w:rPr>
              <w:t>Черноручье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Шапково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Яблонец</w:t>
            </w:r>
            <w:proofErr w:type="spellEnd"/>
            <w:r>
              <w:rPr>
                <w:szCs w:val="24"/>
              </w:rPr>
              <w:t>, Языково; СНТ:  Дубок, Факел, Надежда, Череха-2.</w:t>
            </w:r>
          </w:p>
        </w:tc>
        <w:tc>
          <w:tcPr>
            <w:tcW w:w="2150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</w:t>
            </w:r>
            <w:proofErr w:type="spellStart"/>
            <w:r>
              <w:rPr>
                <w:szCs w:val="24"/>
              </w:rPr>
              <w:t>Рюжского</w:t>
            </w:r>
            <w:proofErr w:type="spellEnd"/>
            <w:r>
              <w:rPr>
                <w:szCs w:val="24"/>
              </w:rPr>
              <w:t xml:space="preserve"> дома культуры </w:t>
            </w:r>
          </w:p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д. Похвальщина</w:t>
            </w:r>
          </w:p>
        </w:tc>
        <w:tc>
          <w:tcPr>
            <w:tcW w:w="153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9009930225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5"/>
        <w:numPr>
          <w:ilvl w:val="0"/>
          <w:numId w:val="1"/>
        </w:numPr>
        <w:spacing w:line="300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постановление вступает в силу с момента его подписания.</w:t>
      </w:r>
    </w:p>
    <w:p>
      <w:pPr>
        <w:pStyle w:val="a5"/>
        <w:numPr>
          <w:ilvl w:val="0"/>
          <w:numId w:val="1"/>
        </w:numPr>
        <w:spacing w:line="300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постановление на официальном сайте муниципального образования «Псковский район» и в газете «Псковская провинция».</w:t>
      </w:r>
    </w:p>
    <w:p>
      <w:pPr>
        <w:pStyle w:val="a5"/>
        <w:spacing w:line="300" w:lineRule="auto"/>
        <w:ind w:left="567"/>
        <w:jc w:val="both"/>
        <w:rPr>
          <w:sz w:val="27"/>
          <w:szCs w:val="27"/>
        </w:rPr>
      </w:pPr>
    </w:p>
    <w:p>
      <w:pPr>
        <w:pStyle w:val="a5"/>
        <w:spacing w:line="300" w:lineRule="auto"/>
        <w:ind w:left="567"/>
        <w:jc w:val="both"/>
        <w:rPr>
          <w:sz w:val="27"/>
          <w:szCs w:val="27"/>
        </w:rPr>
      </w:pPr>
    </w:p>
    <w:p>
      <w:pPr>
        <w:pStyle w:val="a5"/>
        <w:spacing w:line="30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Псковского района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  Н.А. Федорова</w:t>
      </w:r>
    </w:p>
    <w:sectPr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73CE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0D776BB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1AB1E37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0747573"/>
    <w:multiLevelType w:val="multilevel"/>
    <w:tmpl w:val="23D029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364E1A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05214D8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4974752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100"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pPr>
      <w:spacing w:line="360" w:lineRule="auto"/>
      <w:jc w:val="center"/>
    </w:pPr>
    <w:rPr>
      <w:b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2"/>
    <w:basedOn w:val="a"/>
    <w:link w:val="20"/>
    <w:pPr>
      <w:jc w:val="both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100"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pPr>
      <w:spacing w:line="360" w:lineRule="auto"/>
      <w:jc w:val="center"/>
    </w:pPr>
    <w:rPr>
      <w:b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2"/>
    <w:basedOn w:val="a"/>
    <w:link w:val="20"/>
    <w:pPr>
      <w:jc w:val="both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User81</cp:lastModifiedBy>
  <cp:revision>4</cp:revision>
  <dcterms:created xsi:type="dcterms:W3CDTF">2023-06-29T11:27:00Z</dcterms:created>
  <dcterms:modified xsi:type="dcterms:W3CDTF">2023-07-13T14:58:00Z</dcterms:modified>
</cp:coreProperties>
</file>