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6D" w:rsidRPr="00BF55E1" w:rsidRDefault="0027176D" w:rsidP="002717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F55E1">
        <w:rPr>
          <w:rFonts w:ascii="Times New Roman" w:hAnsi="Times New Roman" w:cs="Times New Roman"/>
          <w:sz w:val="26"/>
          <w:szCs w:val="26"/>
        </w:rPr>
        <w:t>Приложение 1</w:t>
      </w:r>
    </w:p>
    <w:bookmarkEnd w:id="0"/>
    <w:p w:rsidR="0027176D" w:rsidRPr="00BF55E1" w:rsidRDefault="0027176D" w:rsidP="00B748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8A0" w:rsidRPr="00BF55E1" w:rsidRDefault="00B748A0" w:rsidP="00B748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5E1">
        <w:rPr>
          <w:rFonts w:ascii="Times New Roman" w:hAnsi="Times New Roman" w:cs="Times New Roman"/>
          <w:b/>
          <w:sz w:val="26"/>
          <w:szCs w:val="26"/>
        </w:rPr>
        <w:t xml:space="preserve">Оценка показателей, характеризующих качество финансового менеджмента, осуществляемого главными распорядителями бюджетных средств (ГРБС) муниципального образования «Псковский район» за </w:t>
      </w:r>
      <w:r w:rsidR="00F870DE" w:rsidRPr="00BF55E1">
        <w:rPr>
          <w:rFonts w:ascii="Times New Roman" w:hAnsi="Times New Roman" w:cs="Times New Roman"/>
          <w:b/>
          <w:sz w:val="26"/>
          <w:szCs w:val="26"/>
        </w:rPr>
        <w:t>20</w:t>
      </w:r>
      <w:r w:rsidR="001F61BB" w:rsidRPr="00BF55E1">
        <w:rPr>
          <w:rFonts w:ascii="Times New Roman" w:hAnsi="Times New Roman" w:cs="Times New Roman"/>
          <w:b/>
          <w:sz w:val="26"/>
          <w:szCs w:val="26"/>
        </w:rPr>
        <w:t>2</w:t>
      </w:r>
      <w:r w:rsidR="009D2A6F" w:rsidRPr="00BF55E1">
        <w:rPr>
          <w:rFonts w:ascii="Times New Roman" w:hAnsi="Times New Roman" w:cs="Times New Roman"/>
          <w:b/>
          <w:sz w:val="26"/>
          <w:szCs w:val="26"/>
        </w:rPr>
        <w:t>3</w:t>
      </w:r>
      <w:r w:rsidR="001F61BB" w:rsidRPr="00BF55E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BF55E1">
        <w:rPr>
          <w:rFonts w:ascii="Times New Roman" w:hAnsi="Times New Roman" w:cs="Times New Roman"/>
          <w:b/>
          <w:sz w:val="26"/>
          <w:szCs w:val="26"/>
        </w:rPr>
        <w:t>од</w:t>
      </w:r>
    </w:p>
    <w:p w:rsidR="00B748A0" w:rsidRPr="00BF55E1" w:rsidRDefault="00B748A0" w:rsidP="00B748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B748A0" w:rsidRPr="00BF55E1" w:rsidRDefault="00B748A0" w:rsidP="00B74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8A0" w:rsidRPr="00BF55E1" w:rsidRDefault="00B748A0" w:rsidP="00B74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 xml:space="preserve">Финансовым </w:t>
      </w:r>
      <w:r w:rsidR="00D81654" w:rsidRPr="00BF55E1">
        <w:rPr>
          <w:rFonts w:ascii="Times New Roman" w:hAnsi="Times New Roman" w:cs="Times New Roman"/>
          <w:sz w:val="26"/>
          <w:szCs w:val="26"/>
        </w:rPr>
        <w:t>управлением</w:t>
      </w:r>
      <w:r w:rsidRPr="00BF55E1">
        <w:rPr>
          <w:rFonts w:ascii="Times New Roman" w:hAnsi="Times New Roman" w:cs="Times New Roman"/>
          <w:sz w:val="26"/>
          <w:szCs w:val="26"/>
        </w:rPr>
        <w:t xml:space="preserve"> Администрации Псковского района на основании распоряжения Администрации Псковского района от 17.04.2013 № 101-рх «Об утверждении Порядка и Методики бальной </w:t>
      </w:r>
      <w:proofErr w:type="gramStart"/>
      <w:r w:rsidRPr="00BF55E1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 главных распорядителей бюджетных средств муниципального</w:t>
      </w:r>
      <w:proofErr w:type="gramEnd"/>
      <w:r w:rsidRPr="00BF55E1">
        <w:rPr>
          <w:rFonts w:ascii="Times New Roman" w:hAnsi="Times New Roman" w:cs="Times New Roman"/>
          <w:sz w:val="26"/>
          <w:szCs w:val="26"/>
        </w:rPr>
        <w:t xml:space="preserve"> образования «Псковский район» проведена оценка показателей характеризующих качество финансового менеджмента, осуществляемого главными распорядителями средств бюджета (далее ГРБС) за 20</w:t>
      </w:r>
      <w:r w:rsidR="00F870DE" w:rsidRPr="00BF55E1">
        <w:rPr>
          <w:rFonts w:ascii="Times New Roman" w:hAnsi="Times New Roman" w:cs="Times New Roman"/>
          <w:sz w:val="26"/>
          <w:szCs w:val="26"/>
        </w:rPr>
        <w:t>2</w:t>
      </w:r>
      <w:r w:rsidR="000511E7" w:rsidRPr="00BF55E1">
        <w:rPr>
          <w:rFonts w:ascii="Times New Roman" w:hAnsi="Times New Roman" w:cs="Times New Roman"/>
          <w:sz w:val="26"/>
          <w:szCs w:val="26"/>
        </w:rPr>
        <w:t>3</w:t>
      </w:r>
      <w:r w:rsidRPr="00BF55E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748A0" w:rsidRPr="00BF55E1" w:rsidRDefault="00B748A0" w:rsidP="00B74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748A0" w:rsidRPr="00BF55E1" w:rsidRDefault="00B748A0" w:rsidP="00B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Бальная оценка качества финансового менеджмента проводилась по следующим направлениям: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1. Оценка механизмов планирования расходов бюджета;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2. Оценка результатов исполнения бюджета в части расходов;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3. Оценка управления обязательствами в процессе исполнения бюджета;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4. Оценка состояния учета и отчетности;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5. Оценка организация контроля;</w:t>
      </w:r>
    </w:p>
    <w:p w:rsidR="00B748A0" w:rsidRPr="00BF55E1" w:rsidRDefault="00B748A0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6. Оценка исполнения судебных актов.</w:t>
      </w:r>
    </w:p>
    <w:p w:rsidR="00A23308" w:rsidRPr="00BF55E1" w:rsidRDefault="00A23308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308" w:rsidRPr="00BF55E1" w:rsidRDefault="00A23308" w:rsidP="00B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На основании произведенной оценки составлен рейтинг ГРБС по качеству финансового менеджмента.</w:t>
      </w:r>
    </w:p>
    <w:p w:rsidR="00A23308" w:rsidRPr="00BF55E1" w:rsidRDefault="00A23308" w:rsidP="00A2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308" w:rsidRPr="00BF55E1" w:rsidRDefault="00A23308" w:rsidP="00B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В результате низкая оценка присвоена:</w:t>
      </w:r>
    </w:p>
    <w:p w:rsidR="00A23308" w:rsidRPr="00BF55E1" w:rsidRDefault="00A23308" w:rsidP="00A2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по качеству планирования расходов бюджета по причине:</w:t>
      </w:r>
    </w:p>
    <w:p w:rsidR="00A23308" w:rsidRPr="00BF55E1" w:rsidRDefault="00A23308" w:rsidP="00A2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>- низкой  доли бюджетных ассигнований на представление муниципальных услуг, оказываемых в соответствии с муниципальными заданиями.</w:t>
      </w:r>
    </w:p>
    <w:p w:rsidR="00A23308" w:rsidRPr="00BF55E1" w:rsidRDefault="00A23308" w:rsidP="00A2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 xml:space="preserve">по </w:t>
      </w:r>
      <w:r w:rsidR="00EC1DE4" w:rsidRPr="00BF55E1">
        <w:rPr>
          <w:rFonts w:ascii="Times New Roman" w:eastAsia="Times New Roman CYR" w:hAnsi="Times New Roman" w:cs="Times New Roman"/>
          <w:bCs/>
          <w:sz w:val="26"/>
          <w:szCs w:val="26"/>
        </w:rPr>
        <w:t>оценке управления обязательствами в процессе исполнения бюджета</w:t>
      </w:r>
      <w:r w:rsidRPr="00BF55E1">
        <w:rPr>
          <w:rFonts w:ascii="Times New Roman" w:hAnsi="Times New Roman" w:cs="Times New Roman"/>
          <w:sz w:val="26"/>
          <w:szCs w:val="26"/>
        </w:rPr>
        <w:t>:</w:t>
      </w:r>
    </w:p>
    <w:p w:rsidR="00A23308" w:rsidRPr="00BF55E1" w:rsidRDefault="00A23308" w:rsidP="00A2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E1">
        <w:rPr>
          <w:rFonts w:ascii="Times New Roman" w:hAnsi="Times New Roman" w:cs="Times New Roman"/>
          <w:sz w:val="26"/>
          <w:szCs w:val="26"/>
        </w:rPr>
        <w:t xml:space="preserve">- </w:t>
      </w:r>
      <w:r w:rsidR="00E16E97" w:rsidRPr="00BF55E1">
        <w:rPr>
          <w:rFonts w:ascii="Times New Roman" w:hAnsi="Times New Roman" w:cs="Times New Roman"/>
          <w:sz w:val="26"/>
          <w:szCs w:val="26"/>
        </w:rPr>
        <w:t xml:space="preserve">увеличение дебиторской задолженности </w:t>
      </w:r>
      <w:proofErr w:type="gramStart"/>
      <w:r w:rsidR="00E16E97" w:rsidRPr="00BF55E1">
        <w:rPr>
          <w:rFonts w:ascii="Times New Roman" w:hAnsi="Times New Roman" w:cs="Times New Roman"/>
          <w:sz w:val="26"/>
          <w:szCs w:val="26"/>
        </w:rPr>
        <w:t xml:space="preserve">на конец года по сравнению с началом года за счет </w:t>
      </w:r>
      <w:r w:rsidR="0027176D" w:rsidRPr="00BF55E1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E16E97" w:rsidRPr="00BF55E1">
        <w:rPr>
          <w:rFonts w:ascii="Times New Roman" w:hAnsi="Times New Roman" w:cs="Times New Roman"/>
          <w:sz w:val="26"/>
          <w:szCs w:val="26"/>
        </w:rPr>
        <w:t>авансирования подрядчиков по муниципальным контрактам</w:t>
      </w:r>
      <w:proofErr w:type="gramEnd"/>
      <w:r w:rsidRPr="00BF55E1">
        <w:rPr>
          <w:rFonts w:ascii="Times New Roman" w:hAnsi="Times New Roman" w:cs="Times New Roman"/>
          <w:sz w:val="26"/>
          <w:szCs w:val="26"/>
        </w:rPr>
        <w:t>;</w:t>
      </w:r>
    </w:p>
    <w:p w:rsidR="00D857F1" w:rsidRPr="00BF55E1" w:rsidRDefault="00D857F1" w:rsidP="00B7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7F1" w:rsidRPr="00BF55E1" w:rsidRDefault="00D857F1" w:rsidP="00D857F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 w:rsidRPr="00BF55E1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Результаты</w:t>
      </w:r>
    </w:p>
    <w:p w:rsidR="00D857F1" w:rsidRPr="00BF55E1" w:rsidRDefault="00D857F1" w:rsidP="00D857F1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 w:rsidRPr="00BF55E1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анализа качества финансового менеджмента за 20</w:t>
      </w:r>
      <w:r w:rsidR="001F61BB" w:rsidRPr="00BF55E1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2</w:t>
      </w:r>
      <w:r w:rsidR="000511E7" w:rsidRPr="00BF55E1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3</w:t>
      </w:r>
      <w:r w:rsidRPr="00BF55E1"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 xml:space="preserve"> год</w:t>
      </w:r>
    </w:p>
    <w:p w:rsidR="00D857F1" w:rsidRPr="00D857F1" w:rsidRDefault="00D857F1" w:rsidP="00D857F1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007"/>
        <w:gridCol w:w="1133"/>
        <w:gridCol w:w="2129"/>
        <w:gridCol w:w="1701"/>
        <w:gridCol w:w="140"/>
        <w:gridCol w:w="1277"/>
      </w:tblGrid>
      <w:tr w:rsidR="00D857F1" w:rsidRPr="00BF55E1" w:rsidTr="006A35DE">
        <w:trPr>
          <w:trHeight w:val="960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Средняя </w:t>
            </w: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br/>
              <w:t>оценка по</w:t>
            </w: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br/>
              <w:t>показателю</w:t>
            </w: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br/>
              <w:t>(SP)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ГРБС, 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получившие</w:t>
            </w:r>
            <w:proofErr w:type="gramEnd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  неудовлетворительную оценку по показателю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ГРБС, 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получившие</w:t>
            </w:r>
            <w:proofErr w:type="gramEnd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 лучшую оценку по показателю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ГРБС, к 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которым</w:t>
            </w:r>
            <w:proofErr w:type="gramEnd"/>
            <w:r w:rsidRPr="00BF55E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 xml:space="preserve"> показатель не применим</w:t>
            </w:r>
          </w:p>
        </w:tc>
      </w:tr>
      <w:tr w:rsidR="00D857F1" w:rsidRPr="00BF55E1" w:rsidTr="006A35DE">
        <w:trPr>
          <w:trHeight w:val="24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57F1" w:rsidRPr="00BF55E1" w:rsidTr="006A35DE">
        <w:trPr>
          <w:trHeight w:val="333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  <w:t>1. Оценка механизмов планирования расходов бюджета</w:t>
            </w:r>
          </w:p>
        </w:tc>
      </w:tr>
      <w:tr w:rsidR="00D857F1" w:rsidRPr="00BF55E1" w:rsidTr="006A35DE">
        <w:trPr>
          <w:trHeight w:val="52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Своевременность представления фрагментов реестра расходных обязательств ГРБС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2B5D49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57F1" w:rsidRPr="00BF55E1" w:rsidRDefault="008C0C3B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6A35DE">
        <w:trPr>
          <w:trHeight w:val="48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Доля бюджетных ассигнований, запланированных на реализацию муниципальных ведомственных программ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1654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18680B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D81654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48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Доля бюджетных ассигнований на предоставление муниципальных услуг (работ) физическим и юридическим 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lastRenderedPageBreak/>
              <w:t>лицам, оказываемых в соответствии с муниципальными  заданиями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E7603D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7603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2A146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48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Своевременность и качество предоставления обоснований  бюджетных ассигнований к проекту бюджета на очередной год и плановый период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8C0C3B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 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2B5D49">
        <w:trPr>
          <w:trHeight w:val="389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EC1DE4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2. Оценка результатов исполнения бюджета в части  расходов</w:t>
            </w:r>
          </w:p>
        </w:tc>
      </w:tr>
      <w:tr w:rsidR="00D857F1" w:rsidRPr="00BF55E1" w:rsidTr="006A35DE">
        <w:trPr>
          <w:trHeight w:val="63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Уровень исполнения расходов ГРБС за счёт средств бюджета  (без учёта субвенций, субсидий)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975E6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1C23CF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603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7D3FDA" w:rsidP="00E7603D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E7603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BC507C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 xml:space="preserve">Своевременное доведение ГРБС лимитов бюджетных обязательств до подведомственных муниципальных бюджетных учреждений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7D3FDA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121C5F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3FDA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60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Своевременное составление   бюджетной росписи ГРБС и внесение изменений в неё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57F1" w:rsidRPr="00BF55E1" w:rsidRDefault="008C0C3B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6A35DE">
        <w:trPr>
          <w:trHeight w:val="60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Р8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Оценка качества планирования бюджетных ассигнований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541E6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2B5D49">
        <w:trPr>
          <w:trHeight w:val="268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EC1DE4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3.  Оценка управления обязательствами в процессе исполнения бюджета</w:t>
            </w:r>
          </w:p>
        </w:tc>
      </w:tr>
      <w:tr w:rsidR="00D857F1" w:rsidRPr="00BF55E1" w:rsidTr="006A35DE">
        <w:trPr>
          <w:trHeight w:val="60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Наличие у ГРБС и подведомственных ему муниципальных бюджетных учреждений нереальной к взысканию дебиторской задолженности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57F1" w:rsidRPr="00BF55E1" w:rsidRDefault="005520E2" w:rsidP="00B166E7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Собрание </w:t>
            </w:r>
            <w:r w:rsidR="00B166E7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6A35DE">
        <w:trPr>
          <w:trHeight w:val="72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Р10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Изменение дебиторской задолженности ГРБС и подведомственных ему муниципальных бюджетных учреждений в отчётном периоде по сравнению с началом года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5520E2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7E01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D857F1" w:rsidP="00D77E0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Собрание </w:t>
            </w:r>
            <w:r w:rsidR="00D77E01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6A35DE">
        <w:trPr>
          <w:trHeight w:val="72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Р11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 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2B5D49">
        <w:trPr>
          <w:trHeight w:val="18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EC1DE4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4. Оценка состояния учёта и отчётности</w:t>
            </w:r>
          </w:p>
        </w:tc>
      </w:tr>
      <w:tr w:rsidR="00D857F1" w:rsidRPr="00BF55E1" w:rsidTr="006A35DE">
        <w:trPr>
          <w:trHeight w:val="109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Р12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 xml:space="preserve">Представление в составе годовой бюджетной отчётности сведений о мерах по повышению эффективности  расходования        </w:t>
            </w: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br/>
              <w:t>бюджетных средств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266B84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proofErr w:type="gramStart"/>
            <w:r w:rsidR="00CA40D9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7F1" w:rsidRPr="00BF55E1" w:rsidTr="006A35DE">
        <w:trPr>
          <w:trHeight w:val="56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Р13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Соблюдение сроков представления ГРБС годовой бюджетной отчётности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5C1B5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7F1" w:rsidRPr="00BF55E1" w:rsidRDefault="00D857F1" w:rsidP="005C1B5D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5C1B5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7F1" w:rsidRPr="00BF55E1" w:rsidTr="002B5D49">
        <w:trPr>
          <w:trHeight w:val="239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EC1DE4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5. Оценка организации контроля</w:t>
            </w: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Р14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>Проведение ГРБС мониторинга результатов деятельности подведомственных муниципальных бюджетных учреждений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77E0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D77E01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7E230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3FDA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Р15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Нарушения, выявленные в ходе  проведения ведомственных контрольных мероприятий в отчётном финансовом году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5C1B5D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C1B5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7E230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3FDA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lastRenderedPageBreak/>
              <w:t>Р16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 xml:space="preserve">Наличие недостач и хищений денежных средств и материальных ценностей, выявленных в ходе ведомственных контрольных мероприятий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5C1B5D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C1B5D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7E230D" w:rsidP="008074F5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Собрание </w:t>
            </w:r>
            <w:r w:rsidR="007D3FDA"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Р17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1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14512F"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80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</w:t>
            </w:r>
            <w:r w:rsidR="007E230D"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3FDA"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57F1" w:rsidRPr="00BF55E1" w:rsidTr="002B5D49">
        <w:trPr>
          <w:trHeight w:val="360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EC1DE4" w:rsidP="00D857F1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>6. Оценка исполнения судебных актов</w:t>
            </w:r>
          </w:p>
        </w:tc>
      </w:tr>
      <w:tr w:rsidR="00D857F1" w:rsidRPr="00BF55E1" w:rsidTr="006A35DE">
        <w:trPr>
          <w:trHeight w:val="36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Р18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57F1" w:rsidRPr="00BF55E1" w:rsidRDefault="00D857F1" w:rsidP="00D857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ru-RU"/>
              </w:rPr>
              <w:t xml:space="preserve">Сумма, подлежащая взысканию по исполнительным документам  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5C1B5D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D857F1" w:rsidP="00D857F1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57F1" w:rsidRPr="00BF55E1" w:rsidRDefault="007E230D" w:rsidP="0014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14512F"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7F1" w:rsidRPr="00BF55E1" w:rsidRDefault="00D857F1" w:rsidP="007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Собрание </w:t>
            </w:r>
            <w:r w:rsidR="007E230D" w:rsidRPr="00BF5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857F1" w:rsidRPr="00D857F1" w:rsidRDefault="00D857F1" w:rsidP="00D8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7F1" w:rsidRPr="00D857F1" w:rsidRDefault="00D857F1" w:rsidP="00D8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57F1" w:rsidRPr="00D857F1" w:rsidSect="002717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0"/>
    <w:rsid w:val="00015E20"/>
    <w:rsid w:val="000511E7"/>
    <w:rsid w:val="00090B6E"/>
    <w:rsid w:val="000A5E87"/>
    <w:rsid w:val="00121C5F"/>
    <w:rsid w:val="0014512F"/>
    <w:rsid w:val="00154057"/>
    <w:rsid w:val="0018680B"/>
    <w:rsid w:val="001C23CF"/>
    <w:rsid w:val="001F61BB"/>
    <w:rsid w:val="00226BF3"/>
    <w:rsid w:val="00265A41"/>
    <w:rsid w:val="00266B84"/>
    <w:rsid w:val="0027176D"/>
    <w:rsid w:val="00285396"/>
    <w:rsid w:val="002A146D"/>
    <w:rsid w:val="002B34F1"/>
    <w:rsid w:val="002B5D49"/>
    <w:rsid w:val="00405F48"/>
    <w:rsid w:val="004A2AA1"/>
    <w:rsid w:val="004F7776"/>
    <w:rsid w:val="005520E2"/>
    <w:rsid w:val="005541E6"/>
    <w:rsid w:val="005C1B5D"/>
    <w:rsid w:val="005D79F2"/>
    <w:rsid w:val="00630528"/>
    <w:rsid w:val="00642B3A"/>
    <w:rsid w:val="006A35DE"/>
    <w:rsid w:val="006C4505"/>
    <w:rsid w:val="006F07F3"/>
    <w:rsid w:val="00745D18"/>
    <w:rsid w:val="007A6A53"/>
    <w:rsid w:val="007B20B9"/>
    <w:rsid w:val="007B2DCB"/>
    <w:rsid w:val="007D3FDA"/>
    <w:rsid w:val="007E230D"/>
    <w:rsid w:val="008074F5"/>
    <w:rsid w:val="00847490"/>
    <w:rsid w:val="00866F0C"/>
    <w:rsid w:val="008C0C3B"/>
    <w:rsid w:val="00904D40"/>
    <w:rsid w:val="009470DC"/>
    <w:rsid w:val="00970CCD"/>
    <w:rsid w:val="00975E6D"/>
    <w:rsid w:val="0099139F"/>
    <w:rsid w:val="009D2A6F"/>
    <w:rsid w:val="009E0982"/>
    <w:rsid w:val="00A1224C"/>
    <w:rsid w:val="00A223D4"/>
    <w:rsid w:val="00A23308"/>
    <w:rsid w:val="00A6601B"/>
    <w:rsid w:val="00A71A2B"/>
    <w:rsid w:val="00A738A8"/>
    <w:rsid w:val="00B166E7"/>
    <w:rsid w:val="00B6076B"/>
    <w:rsid w:val="00B748A0"/>
    <w:rsid w:val="00BA39E2"/>
    <w:rsid w:val="00BC507C"/>
    <w:rsid w:val="00BD3D05"/>
    <w:rsid w:val="00BF55E1"/>
    <w:rsid w:val="00C535DD"/>
    <w:rsid w:val="00CA40D9"/>
    <w:rsid w:val="00D23BBE"/>
    <w:rsid w:val="00D64B03"/>
    <w:rsid w:val="00D77E01"/>
    <w:rsid w:val="00D81654"/>
    <w:rsid w:val="00D857F1"/>
    <w:rsid w:val="00DA43BC"/>
    <w:rsid w:val="00DA5D97"/>
    <w:rsid w:val="00DE0FA0"/>
    <w:rsid w:val="00E16E97"/>
    <w:rsid w:val="00E31BFB"/>
    <w:rsid w:val="00E72E64"/>
    <w:rsid w:val="00E7603D"/>
    <w:rsid w:val="00EC1DE4"/>
    <w:rsid w:val="00F04705"/>
    <w:rsid w:val="00F870DE"/>
    <w:rsid w:val="00F959DD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1D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1D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UserPos7</dc:creator>
  <cp:lastModifiedBy>User101</cp:lastModifiedBy>
  <cp:revision>4</cp:revision>
  <cp:lastPrinted>2024-02-28T12:24:00Z</cp:lastPrinted>
  <dcterms:created xsi:type="dcterms:W3CDTF">2024-02-28T11:19:00Z</dcterms:created>
  <dcterms:modified xsi:type="dcterms:W3CDTF">2024-03-01T08:28:00Z</dcterms:modified>
</cp:coreProperties>
</file>