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2E75AE" w:rsidRPr="002E75AE" w:rsidRDefault="002E75AE" w:rsidP="002E75AE">
      <w:pPr>
        <w:pStyle w:val="a3"/>
        <w:spacing w:after="0" w:line="20" w:lineRule="atLeas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E75AE">
        <w:rPr>
          <w:sz w:val="28"/>
          <w:szCs w:val="28"/>
        </w:rPr>
        <w:t>Федеральным законом от 19.12.2023 №595-ФЗ</w:t>
      </w:r>
      <w:r w:rsidRPr="002E75AE">
        <w:rPr>
          <w:sz w:val="28"/>
          <w:szCs w:val="28"/>
        </w:rPr>
        <w:br/>
        <w:t>«О внесении изменений в части первую и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Федерации»</w:t>
      </w:r>
      <w:r w:rsidR="00D02880" w:rsidRPr="002E75AE">
        <w:rPr>
          <w:sz w:val="28"/>
          <w:szCs w:val="28"/>
        </w:rPr>
        <w:t> </w:t>
      </w:r>
      <w:r w:rsidRPr="002E75AE">
        <w:rPr>
          <w:rFonts w:eastAsia="Times New Roman"/>
          <w:bCs/>
          <w:sz w:val="28"/>
          <w:szCs w:val="28"/>
          <w:lang w:eastAsia="ru-RU"/>
        </w:rPr>
        <w:t>внесены изменения в НК РФ, направленные на совершенствование налогообложения МХК, доходов при передаче акций и долей в российских ЭЗО, определения доходов КИК, перерегистрации организаций в САР.</w:t>
      </w:r>
    </w:p>
    <w:p w:rsidR="007F245F" w:rsidRDefault="002E75AE" w:rsidP="002E75AE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Законом, в частности: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двенадцатимесячный срок представления документов, необходимых для приобретения статуса МХК, предусмотрен также для международных компаний, зарегистрированных в 2023 году;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освобождены от НДС операции по передаче МХК в собственность субъекта РФ (муниципального образования) имущества в соответствии с абзацами 2 - 4 пункта 4 статьи 284.10 НК РФ;</w:t>
      </w:r>
    </w:p>
    <w:p w:rsidR="007F245F" w:rsidRDefault="002E75AE" w:rsidP="007F245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скорректированы условия применения международными холдинговыми компаниями пониженных налоговых ставок по налогу на прибыль;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245F" w:rsidRDefault="002E75AE" w:rsidP="007F245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уточнены условия корректировки налогооблагаемой прибыли КИК в соответствии со статьей 25.15 НК РФ;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освобождено от ответственности, предусмотренной статьей 129.6 НК РФ, контролирующее лицо иностранной организации, в порядке редомициляции которой зарегистрирована международная компания, в случае непредставления уведомления о КИК, если такая иностранная организация в соответствии с ее личным законом признана фактически прекратившей свою деятельность;</w:t>
      </w:r>
    </w:p>
    <w:p w:rsidR="007F245F" w:rsidRDefault="002E75AE" w:rsidP="007F245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уточнены условия перерегистрации в САР крупной организации, зарегистрированной на территории городов федерального значения (Москва, Санкт-Петербург, Севастополь). Власти этих субъектов будут вправе направить возражение, если доля поступлений по налогу на прибыль в бюджет такой организации составляла более 0,1% хотя бы в одном из трех последних календарных лет (ранее - 1%), что значительно увеличит круг организаций, которые подпадают под это ограничение;</w:t>
      </w:r>
    </w:p>
    <w:p w:rsidR="002E75AE" w:rsidRPr="002E75AE" w:rsidRDefault="002E75AE" w:rsidP="007F245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5A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уточнения коснулись также порядка налогообложения доходов при передаче акций и долей в российских экономически значимых организациях (ЭЗО) (так, в частности, для целей налогообложения НДФЛ введен порядок определения расходов на приобретение акций ЭЗО либо организации, созданной в судебном порядке, по налогу на прибыль установлен порядок формирования стоимости акций (долей) ЭЗО в налоговом учете; установлены особенности исчисления срока фактического владения налогоплательщиком акциями (долями) ЭЗО и пр.).</w:t>
      </w:r>
    </w:p>
    <w:p w:rsidR="00D02880" w:rsidRPr="00D02880" w:rsidRDefault="00D02880" w:rsidP="002E75AE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2E75AE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7F245F"/>
    <w:rsid w:val="00897F03"/>
    <w:rsid w:val="008C2611"/>
    <w:rsid w:val="008C5159"/>
    <w:rsid w:val="009337D3"/>
    <w:rsid w:val="00972BBA"/>
    <w:rsid w:val="00A3796D"/>
    <w:rsid w:val="00A94C78"/>
    <w:rsid w:val="00B1151F"/>
    <w:rsid w:val="00B83A41"/>
    <w:rsid w:val="00BB488A"/>
    <w:rsid w:val="00BC6CDB"/>
    <w:rsid w:val="00BE4EE2"/>
    <w:rsid w:val="00C06935"/>
    <w:rsid w:val="00C674A3"/>
    <w:rsid w:val="00D02880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1BC3A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29</cp:revision>
  <dcterms:created xsi:type="dcterms:W3CDTF">2023-12-26T06:51:00Z</dcterms:created>
  <dcterms:modified xsi:type="dcterms:W3CDTF">2023-12-26T11:25:00Z</dcterms:modified>
</cp:coreProperties>
</file>