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38" w:rsidRDefault="00CB143A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261"/>
        <w:gridCol w:w="2128"/>
        <w:gridCol w:w="1560"/>
      </w:tblGrid>
      <w:tr w:rsidR="00321538">
        <w:trPr>
          <w:trHeight w:val="273"/>
        </w:trPr>
        <w:tc>
          <w:tcPr>
            <w:tcW w:w="965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Минфина РФ</w:t>
            </w:r>
          </w:p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28 декабря 2010 г. № 191н</w:t>
            </w:r>
          </w:p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ред. от 2 ноября 2017 г.)</w:t>
            </w:r>
          </w:p>
        </w:tc>
      </w:tr>
      <w:tr w:rsidR="00321538">
        <w:trPr>
          <w:trHeight w:val="273"/>
        </w:trPr>
        <w:tc>
          <w:tcPr>
            <w:tcW w:w="965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     </w:t>
            </w:r>
          </w:p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321538">
        <w:trPr>
          <w:trHeight w:val="337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    к отчету об исполнении консолидированного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2153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321538">
        <w:trPr>
          <w:trHeight w:val="273"/>
        </w:trPr>
        <w:tc>
          <w:tcPr>
            <w:tcW w:w="596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2024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32153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АДМИНИСТРАЦИЯ ПСКОВСКОГО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04038363</w:t>
            </w:r>
          </w:p>
        </w:tc>
      </w:tr>
      <w:tr w:rsidR="0032153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321538">
            <w:pPr>
              <w:rPr>
                <w:sz w:val="24"/>
              </w:rPr>
            </w:pPr>
          </w:p>
        </w:tc>
      </w:tr>
      <w:tr w:rsidR="0032153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Бюджет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58649000</w:t>
            </w:r>
          </w:p>
        </w:tc>
      </w:tr>
      <w:tr w:rsidR="00321538">
        <w:trPr>
          <w:trHeight w:val="273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1538">
        <w:trPr>
          <w:trHeight w:val="356"/>
        </w:trPr>
        <w:tc>
          <w:tcPr>
            <w:tcW w:w="2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21538" w:rsidRDefault="00CB143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4118"/>
        <w:gridCol w:w="1363"/>
        <w:gridCol w:w="1206"/>
      </w:tblGrid>
      <w:tr w:rsidR="00321538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(в ред. от 31 декабря 2015 г.)</w:t>
            </w:r>
          </w:p>
        </w:tc>
      </w:tr>
      <w:tr w:rsidR="00321538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ПОЯСНИТЕЛЬНАЯ ЗАПИСКА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отчету об исполнении консолидированного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32153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0503360</w:t>
            </w:r>
          </w:p>
        </w:tc>
      </w:tr>
      <w:tr w:rsidR="00321538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 на   1 января 2024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Дата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01.01.2024</w:t>
            </w:r>
          </w:p>
        </w:tc>
      </w:tr>
      <w:tr w:rsidR="00321538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1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04038363</w:t>
            </w:r>
          </w:p>
        </w:tc>
      </w:tr>
      <w:tr w:rsidR="00321538">
        <w:trPr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финансового органа АДМИНИСТРАЦИЯ  ПСКОВСКОГО  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по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</w:tr>
      <w:tr w:rsidR="00321538">
        <w:trPr>
          <w:trHeight w:val="2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бюджета Бюджет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58649000</w:t>
            </w:r>
          </w:p>
        </w:tc>
      </w:tr>
      <w:tr w:rsidR="00321538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Периодичность:    месячная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 по ОКЕИ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</w:tr>
      <w:tr w:rsidR="0032153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               Раздел 1. Организационная структура бюджетной отчетности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Консолидированный бюджет Псковского района включает в себя бюджет муниципального образования "Псковского район", бюджеты десяти сельских муниципальных образований.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Главным распорядителем средств бюджета муниципального образования " Псковский район " являе</w:t>
      </w:r>
      <w:r>
        <w:rPr>
          <w:rFonts w:ascii="Times New Roman" w:eastAsia="Times New Roman" w:hAnsi="Times New Roman" w:cs="Times New Roman"/>
          <w:color w:val="000000"/>
        </w:rPr>
        <w:t xml:space="preserve">тся Администрация Псковского района. Главный распорядитель бюджетных средств - Администрация  Псковского района осуществляет перечисление бюджетных субсидий 11 бюджетным учреждениям: девяти общеобразовательным школам, МБУ ДО «ЦРТДМ Псковского района», МБУ </w:t>
      </w:r>
      <w:r>
        <w:rPr>
          <w:rFonts w:ascii="Times New Roman" w:eastAsia="Times New Roman" w:hAnsi="Times New Roman" w:cs="Times New Roman"/>
          <w:color w:val="000000"/>
        </w:rPr>
        <w:t>Псковского района «ПРЦК». Так же подведомственным казенным учреждением Администрации Псковского района является МКУ «ЦОУ».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территории МО "Псковский район" зарегистрированы два муниципальных предприятия: МУП "Колхоз имени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Залита</w:t>
      </w:r>
      <w:proofErr w:type="gramEnd"/>
      <w:r>
        <w:rPr>
          <w:rFonts w:ascii="Times New Roman" w:eastAsia="Times New Roman" w:hAnsi="Times New Roman" w:cs="Times New Roman"/>
          <w:color w:val="000000"/>
        </w:rPr>
        <w:t>", МП "Коммунальные услуги</w:t>
      </w:r>
      <w:r>
        <w:rPr>
          <w:rFonts w:ascii="Times New Roman" w:eastAsia="Times New Roman" w:hAnsi="Times New Roman" w:cs="Times New Roman"/>
          <w:color w:val="000000"/>
        </w:rPr>
        <w:t xml:space="preserve">".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Порядок составления и сроки представления годовой отчетности об исполнении консолидированного бюджета утверждены приказом Комитета по финансам Псковской области от 22.12.2023 № 165.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Сведения об основных направлениях деятельности:</w:t>
      </w:r>
    </w:p>
    <w:tbl>
      <w:tblPr>
        <w:tblW w:w="14970" w:type="dxa"/>
        <w:tblInd w:w="10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2957"/>
        <w:gridCol w:w="4638"/>
        <w:gridCol w:w="4668"/>
      </w:tblGrid>
      <w:tr w:rsidR="00321538">
        <w:trPr>
          <w:trHeight w:val="546"/>
        </w:trPr>
        <w:tc>
          <w:tcPr>
            <w:tcW w:w="3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цели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4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</w:t>
            </w:r>
          </w:p>
        </w:tc>
        <w:tc>
          <w:tcPr>
            <w:tcW w:w="4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Правовое обоснование</w:t>
            </w:r>
          </w:p>
        </w:tc>
      </w:tr>
      <w:tr w:rsidR="00321538">
        <w:tc>
          <w:tcPr>
            <w:tcW w:w="37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законотворчество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решений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Конституция Российской Федерации 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Устав Псковского района</w:t>
            </w:r>
          </w:p>
        </w:tc>
      </w:tr>
      <w:tr w:rsidR="00321538">
        <w:trPr>
          <w:trHeight w:val="5016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интересах граждан Российской Федерации, проживающих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территории Псковского района, в целях эффективного социального, экономического и политического развития района, осуществления исполнительно-распорядительных полномочий по вопросам  местного значения, а также в случае передачи – отдельных государственных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лномочий, переданных органам местного самоуправления федеральными законами и законами Псковской области,  Администрация Псковского района формирует органы исполнительной власти района.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организационного, материально-технического, финансового, правового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иного обеспечения функционирования Администрации, а также для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выполнением органами местного самоуправления района, иными организациями и гражданами решений, принятых Администрациями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района, образуется аппарат Администрации Псковск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района.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Конституция Российской Федерации 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Устав Псковского района 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сельский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разработка и реализация государственной политики в бюджетной, финансовой, денежной и в кредитных сферах района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формирование, утверждение, исполнение бюджета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«Псковский района»,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исполнением данного бюджета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Бюджетный кодекс РФ. 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  Псковского района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 бюджетном процессе муниципального образования «Псковский район» от 10.04.2014 № 102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предупреждении и ликвидации последствий чрезвычайных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ситуаций на территории муниципального района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 Президента Российской Федерации от 09.11.2001 № 1309 «О совершенствовании государственного управления в области пожарной безопасности».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 Администрации Псковской области от 29.10.2007 года № 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«О реализации постановления Правительства Российской Федерации от 22 октября 2007 года № 698»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1210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решение вопросов местного значения в сфере архивного дела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собрания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1473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Решение вопросов местного значения в сфере культуры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библиотечного обслуживания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межпоселенческими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библиотеками, комплектование и обеспечение сохранности их библиотечных фондов, 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Решение вопросов местного значения для создания благоприятных условий для реализации программ в области физической культуры и спорта, реализации дополнительных общеобразовательных программ и услуг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развития на территории муниципальн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нистрации Псковского района в новой редакции»»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Решение вопросов местного значения в организации и проведении  конкурсов и аукционов на право размещения заказов на поставку товаров, выполнение работ, оказание услуг для государственных нужд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и проведение  конкурсов и аукционов на право размещения заказов, размещение  на сайте запроса котировок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2969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Решение вопросов местного значения в сфере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и общедоступного бесплатного дошкольного образования на 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ерритории муниципального района, а также организация отдыха детей в каникулярное время</w:t>
            </w:r>
            <w:proofErr w:type="gramEnd"/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Calibri" w:eastAsia="Calibri" w:hAnsi="Calibri" w:cs="Calibri"/>
          <w:color w:val="000000"/>
        </w:rPr>
        <w:t>                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</w:rPr>
        <w:t> Р</w:t>
      </w:r>
      <w:r>
        <w:rPr>
          <w:rFonts w:ascii="Times New Roman" w:eastAsia="Times New Roman" w:hAnsi="Times New Roman" w:cs="Times New Roman"/>
          <w:color w:val="000000"/>
        </w:rPr>
        <w:t xml:space="preserve">аздел </w:t>
      </w:r>
      <w:r>
        <w:rPr>
          <w:rFonts w:ascii="Times New Roman" w:eastAsia="Times New Roman" w:hAnsi="Times New Roman" w:cs="Times New Roman"/>
          <w:color w:val="000000"/>
        </w:rPr>
        <w:t>2. Результаты деятельности субъекта бюджетной отчетности.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«Псковский район» на 2023 год утвержден решением Собрания депутатов Псковского района от 27.12.2022   №23   «О бюджете муниципального образования "Псковский район</w:t>
      </w:r>
      <w:r>
        <w:rPr>
          <w:rFonts w:ascii="Times New Roman" w:eastAsia="Times New Roman" w:hAnsi="Times New Roman" w:cs="Times New Roman"/>
          <w:color w:val="000000"/>
        </w:rPr>
        <w:t xml:space="preserve">" на 2023 год и плановый период 2024 и 2025 годов»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</w:rPr>
        <w:t>с изм. от 09.02.2032 №32, от 27.04.2023 №48, от 19.06.2023 №61, от 28.09.2023 №75, от 26.12.2023 №102).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Ершовская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на 2023 год утвержден решением Собрания депут</w:t>
      </w:r>
      <w:r>
        <w:rPr>
          <w:rFonts w:ascii="Times New Roman" w:eastAsia="Times New Roman" w:hAnsi="Times New Roman" w:cs="Times New Roman"/>
          <w:color w:val="000000"/>
        </w:rPr>
        <w:t>атов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Ершовская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от 28.12.2022  №70   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Ершовская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на 2023 год и на плановый период 2024 и 2025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Завеличенская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на 2023 год утвержден</w:t>
      </w:r>
      <w:r>
        <w:rPr>
          <w:rFonts w:ascii="Times New Roman" w:eastAsia="Times New Roman" w:hAnsi="Times New Roman" w:cs="Times New Roman"/>
          <w:color w:val="000000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Завеличенская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от 15.12.2022  №74«О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Завеличенская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на 2023 год и плановый период 2024 и 2025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Бюджет муниципального образования «Карамышевская воло</w:t>
      </w:r>
      <w:r>
        <w:rPr>
          <w:rFonts w:ascii="Times New Roman" w:eastAsia="Times New Roman" w:hAnsi="Times New Roman" w:cs="Times New Roman"/>
          <w:color w:val="000000"/>
        </w:rPr>
        <w:t>сть» на 2023год утвержден решением Собрания депутатов сельского поселения «Карамышевская волость» от 27.12.2022  №120   « О бюджете муниципального образования «Карамышевская волость» на 2023 год и плановый период 2024 и 2025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</w:t>
      </w:r>
      <w:r>
        <w:rPr>
          <w:rFonts w:ascii="Times New Roman" w:eastAsia="Times New Roman" w:hAnsi="Times New Roman" w:cs="Times New Roman"/>
          <w:color w:val="000000"/>
        </w:rPr>
        <w:t>бразования «Краснопрудская волость» на 2023 год утвержден решением Собрания депутатов сельского поселения «Краснопрудская волость» от 27.12.2022 №46   « О бюджете муниципального образования «Краснопрудская волость » на 2023 год и плановый период 2024 и 202</w:t>
      </w:r>
      <w:r>
        <w:rPr>
          <w:rFonts w:ascii="Times New Roman" w:eastAsia="Times New Roman" w:hAnsi="Times New Roman" w:cs="Times New Roman"/>
          <w:color w:val="000000"/>
        </w:rPr>
        <w:t>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«Логозовская волость» на 2023 год утвержден решением Собрания депутатов сельского поселения «Логозовская волость» от 23.12.2021 №70   «О бюджете муниципального образования «Логозовская волость» на 2023 год и план</w:t>
      </w:r>
      <w:r>
        <w:rPr>
          <w:rFonts w:ascii="Times New Roman" w:eastAsia="Times New Roman" w:hAnsi="Times New Roman" w:cs="Times New Roman"/>
          <w:color w:val="000000"/>
        </w:rPr>
        <w:t>овый период 2024 и 2025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«Писковичская волость» на 2023 год утвержден решением Собрания депутатов сельского поселения «Писковичская волость» от 27.12.2022  №79 «О бюджете муниципального образования «Писковичская вол</w:t>
      </w:r>
      <w:r>
        <w:rPr>
          <w:rFonts w:ascii="Times New Roman" w:eastAsia="Times New Roman" w:hAnsi="Times New Roman" w:cs="Times New Roman"/>
          <w:color w:val="000000"/>
        </w:rPr>
        <w:t>ость» на 2023 год и плановый период 2024 и 2025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«Середкинская волость» на 2023 год утвержден решением Собрания депутатов сельского поселения «Середкинская волость» от 30.12.20221  №120 «О бюджете муниципального обр</w:t>
      </w:r>
      <w:r>
        <w:rPr>
          <w:rFonts w:ascii="Times New Roman" w:eastAsia="Times New Roman" w:hAnsi="Times New Roman" w:cs="Times New Roman"/>
          <w:color w:val="000000"/>
        </w:rPr>
        <w:t>азования «Середкинская волость» на 2023 год и плановый период 2024 и 2025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«Торошинская волость» на 2023 год утвержден решением Собрания депутатов сельского поселения «Торошинская волость» от 26.12.2022  №48 «О бюдж</w:t>
      </w:r>
      <w:r>
        <w:rPr>
          <w:rFonts w:ascii="Times New Roman" w:eastAsia="Times New Roman" w:hAnsi="Times New Roman" w:cs="Times New Roman"/>
          <w:color w:val="000000"/>
        </w:rPr>
        <w:t>ете муниципального образования «Торошинская волость» на 2023 год и плановый период 2024 и 2025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«Тямшанская волость» на 2023 год утвержден решением Собрания депутатов сельского поселения «Тямшанская волость» от 28.1</w:t>
      </w:r>
      <w:r>
        <w:rPr>
          <w:rFonts w:ascii="Times New Roman" w:eastAsia="Times New Roman" w:hAnsi="Times New Roman" w:cs="Times New Roman"/>
          <w:color w:val="000000"/>
        </w:rPr>
        <w:t>2.2022  №67 «О бюджете муниципального образования «Тямшанская волость» на 2023 год и плановый период 2024 и 2025 годов».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Бюджет муниципального образования «Ядровская волость» на 2023 год утвержден решением Собрания депутатов сельского поселения «Ядровская </w:t>
      </w:r>
      <w:r>
        <w:rPr>
          <w:rFonts w:ascii="Times New Roman" w:eastAsia="Times New Roman" w:hAnsi="Times New Roman" w:cs="Times New Roman"/>
          <w:color w:val="000000"/>
        </w:rPr>
        <w:t>волость» от 27.12.2022  №61  «О бюджете муниципального образования «Ядровская волость» на 2023 год и плановый период 2024 и 2025 годов».</w:t>
      </w:r>
    </w:p>
    <w:p w:rsidR="00321538" w:rsidRDefault="00CB143A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 целях эффективного расходования средств бюджета в соответствии с Федеральным законом "О защите конкуренции" №135-ФЗ о</w:t>
      </w:r>
      <w:r>
        <w:rPr>
          <w:rFonts w:ascii="Times New Roman" w:eastAsia="Times New Roman" w:hAnsi="Times New Roman" w:cs="Times New Roman"/>
          <w:color w:val="000000"/>
        </w:rPr>
        <w:t>т 26.07.2006г, Федеральным законом "О контрактной системе в сфере закупок и товаров, работ, услуг для обеспечения государственных и муниципальных нужд" №44-ФЗ от 05.04.2013г. в районе создана комиссия по размещению заказов на поставки товаров, выполнение р</w:t>
      </w:r>
      <w:r>
        <w:rPr>
          <w:rFonts w:ascii="Times New Roman" w:eastAsia="Times New Roman" w:hAnsi="Times New Roman" w:cs="Times New Roman"/>
          <w:color w:val="000000"/>
        </w:rPr>
        <w:t>абот, оказание услуг для нужд учреждений, утверждено положение 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работы комиссии, утверждено Положение о порядке заключения контрактов на поставку товаров, выполнение работ, оказание услуг для нужд учреждений, других контрактов и контроле за их вып</w:t>
      </w:r>
      <w:r>
        <w:rPr>
          <w:rFonts w:ascii="Times New Roman" w:eastAsia="Times New Roman" w:hAnsi="Times New Roman" w:cs="Times New Roman"/>
          <w:color w:val="000000"/>
        </w:rPr>
        <w:t>олнением, что обеспечивает прозрачность и эффективность закупок.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2023 году по Администрации Псковского района в единой информационной системе в сфере закупок проведено 70 электронных процедур определения поставщиков на поставку товаров, работ, услуг на с</w:t>
      </w:r>
      <w:r>
        <w:rPr>
          <w:rFonts w:ascii="Times New Roman" w:eastAsia="Times New Roman" w:hAnsi="Times New Roman" w:cs="Times New Roman"/>
          <w:color w:val="000000"/>
        </w:rPr>
        <w:t xml:space="preserve">умму 311 853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из них заключено контрактов 49 на сумму 214 680 тыс. рублей. Экономия 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котрактам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составила сумму 41 918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Разработана методика балловой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оценки качества финансового менеджмента главных распорядителей средств бюджета мун</w:t>
      </w:r>
      <w:r>
        <w:rPr>
          <w:rFonts w:ascii="Times New Roman" w:eastAsia="Times New Roman" w:hAnsi="Times New Roman" w:cs="Times New Roman"/>
          <w:color w:val="000000"/>
        </w:rPr>
        <w:t>иципального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образования «Псковский район», утвержденная постановлением Администрации Псковского района № 101-рх от 17.04.2013 года, которая определяет состав показателей и формирование сводного рейтинга ГРБС по качеству финансового менеджмента.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В целях п</w:t>
      </w:r>
      <w:r>
        <w:rPr>
          <w:rFonts w:ascii="Times New Roman" w:eastAsia="Times New Roman" w:hAnsi="Times New Roman" w:cs="Times New Roman"/>
          <w:color w:val="000000"/>
        </w:rPr>
        <w:t>овышения эффективности расходования бюджетных средств, а также для своевременного предоставления месячной, квартальной, годовой отчетности, в учреждениях организована система электронного документооборота с органами статистики, Пенсионного фонда, Федеральн</w:t>
      </w:r>
      <w:r>
        <w:rPr>
          <w:rFonts w:ascii="Times New Roman" w:eastAsia="Times New Roman" w:hAnsi="Times New Roman" w:cs="Times New Roman"/>
          <w:color w:val="000000"/>
        </w:rPr>
        <w:t xml:space="preserve">ой налоговой службы, отделением Фонда социального страхования, отделением Сбербанка России; работает система </w:t>
      </w:r>
      <w:r>
        <w:rPr>
          <w:rFonts w:ascii="Times New Roman" w:eastAsia="Times New Roman" w:hAnsi="Times New Roman" w:cs="Times New Roman"/>
          <w:color w:val="000000"/>
        </w:rPr>
        <w:lastRenderedPageBreak/>
        <w:t>электронного документооборота с органами Федерального казначейства. Организована система удаленного доступа к программе «1С бухгалтерия» для устано</w:t>
      </w:r>
      <w:r>
        <w:rPr>
          <w:rFonts w:ascii="Times New Roman" w:eastAsia="Times New Roman" w:hAnsi="Times New Roman" w:cs="Times New Roman"/>
          <w:color w:val="000000"/>
        </w:rPr>
        <w:t>вления текущих обновлений, устранения возникающих вопросов по ведению учета. Ведется размещение информации по муниципальным закупкам в единой информационной системе в сфере закупок, размещение документов на официальном сайте bus.gov.ru.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целью сопоставлен</w:t>
      </w:r>
      <w:r>
        <w:rPr>
          <w:rFonts w:ascii="Times New Roman" w:eastAsia="Times New Roman" w:hAnsi="Times New Roman" w:cs="Times New Roman"/>
          <w:color w:val="000000"/>
        </w:rPr>
        <w:t>ия фактического наличия имущества с данными бухгалтерского учета и отчетности, обеспечения сохранности материальных ценностей в учреждениях созданы комиссии для проведения инвентаризации имущества, а также комиссии по списанию основных средств и материальн</w:t>
      </w:r>
      <w:r>
        <w:rPr>
          <w:rFonts w:ascii="Times New Roman" w:eastAsia="Times New Roman" w:hAnsi="Times New Roman" w:cs="Times New Roman"/>
          <w:color w:val="000000"/>
        </w:rPr>
        <w:t>ых запасов.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Учреждения района обеспечены основными средствами исходя из их реальной потребности. Техническое состояние основных фондов удовлетворительное и пригодное к эксплуатации. Основными мероприятиями по поддержанию технического состояния основных сре</w:t>
      </w:r>
      <w:r>
        <w:rPr>
          <w:rFonts w:ascii="Times New Roman" w:eastAsia="Times New Roman" w:hAnsi="Times New Roman" w:cs="Times New Roman"/>
          <w:color w:val="000000"/>
        </w:rPr>
        <w:t xml:space="preserve">дств на надлежащем уровне и обеспечению их сохранности являются их правильная эксплуатация и бережное отношение персонала к имуществу учреждений.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Анализ отчета об исполнении бюджета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Консолидированный бюджет МО «Псковский райо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н»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Доходы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Доходная часть консолидированного бюджета за 2023 год исполнена на 102.2%. При утвержденных годовых назначениях   1 279 715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поступило доходов в сумме   1 308 338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Основными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бюджетообразующими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налогами консолидированног</w:t>
      </w:r>
      <w:r>
        <w:rPr>
          <w:rFonts w:ascii="Times New Roman" w:eastAsia="Times New Roman" w:hAnsi="Times New Roman" w:cs="Times New Roman"/>
          <w:color w:val="000000"/>
        </w:rPr>
        <w:t>о бюджета в 2023 году являются: налог на доходы физических лиц; акцизы по подакцизным товарам (продукции), производимым на территории Российской Федерации; единый налог на вмененный доход для отдельных видов деятельности; земельный налог (для бюджетов посе</w:t>
      </w:r>
      <w:r>
        <w:rPr>
          <w:rFonts w:ascii="Times New Roman" w:eastAsia="Times New Roman" w:hAnsi="Times New Roman" w:cs="Times New Roman"/>
          <w:color w:val="000000"/>
        </w:rPr>
        <w:t>лений).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План поступления доходов по группе «1 00 00000 00 0000 000 Налоговые и неналоговые доходы» исполнен на 109,5 %. При плане 517 724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поступило 567 081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Перевыполнены годовые назначения по следующим доходным источникам: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налогу на дох</w:t>
      </w:r>
      <w:r>
        <w:rPr>
          <w:rFonts w:ascii="Times New Roman" w:eastAsia="Times New Roman" w:hAnsi="Times New Roman" w:cs="Times New Roman"/>
          <w:color w:val="000000"/>
        </w:rPr>
        <w:t xml:space="preserve">оды физических лиц в сумме 54 444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 счет роста средней заработной платы и контингента;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-акцизы по подакцизным товарам (продукции), производимым на территории РФ перевыполнены плановые назначения в сумме 8 406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земельному налогу с ф</w:t>
      </w:r>
      <w:r>
        <w:rPr>
          <w:rFonts w:ascii="Times New Roman" w:eastAsia="Times New Roman" w:hAnsi="Times New Roman" w:cs="Times New Roman"/>
          <w:color w:val="000000"/>
        </w:rPr>
        <w:t xml:space="preserve">изических лиц, обладающих земельными участками, расположенными в границах сельских поселений исполнение составило 31 821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при плане 24 446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или 130,2%;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-доходы от аренды имущества в сумме 1 012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-доходы от реализации имущества, на</w:t>
      </w:r>
      <w:r>
        <w:rPr>
          <w:rFonts w:ascii="Times New Roman" w:eastAsia="Times New Roman" w:hAnsi="Times New Roman" w:cs="Times New Roman"/>
          <w:color w:val="000000"/>
        </w:rPr>
        <w:t xml:space="preserve">ходящегося в муниципальной собственности в сумме  1 661,5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План поступлений по группе «2 00 00000 00 0000 000 Безвозмездные поступления» исполнен на 97,3 %. При плане 761 991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поступило 741 258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Из областного бюджета в отчетном </w:t>
      </w:r>
      <w:r>
        <w:rPr>
          <w:rFonts w:ascii="Times New Roman" w:eastAsia="Times New Roman" w:hAnsi="Times New Roman" w:cs="Times New Roman"/>
          <w:color w:val="000000"/>
        </w:rPr>
        <w:t xml:space="preserve">периоде поступили дотации всего в сумме 38 889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100,0 % плановых назначений 38 889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</w:rPr>
        <w:t xml:space="preserve">убсидий из областного бюджета поступило всего в сумме 257 963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при  плане    268 137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или 95,7% плановых назначений.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Поступления</w:t>
      </w:r>
      <w:r>
        <w:rPr>
          <w:rFonts w:ascii="Times New Roman" w:eastAsia="Times New Roman" w:hAnsi="Times New Roman" w:cs="Times New Roman"/>
          <w:color w:val="000000"/>
        </w:rPr>
        <w:t xml:space="preserve"> субвенций из областного бюджета составили 323 343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99,6% к плану 324 653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Иных межбюджетных трансфертов поступило всего в сумме 128 030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98,8% от плановых назначений в сумме 129 518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  </w:t>
      </w:r>
      <w:r>
        <w:rPr>
          <w:rFonts w:ascii="Calibri" w:eastAsia="Calibri" w:hAnsi="Calibri" w:cs="Calibri"/>
          <w:color w:val="000000"/>
        </w:rPr>
        <w:t>                                                                       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Расходы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         Консолидированный бюджет муниципального образования «Псковский район» при плановых назначениях </w:t>
      </w:r>
      <w:r>
        <w:rPr>
          <w:rFonts w:ascii="Times New Roman" w:eastAsia="Times New Roman" w:hAnsi="Times New Roman" w:cs="Times New Roman"/>
          <w:color w:val="000000"/>
        </w:rPr>
        <w:t xml:space="preserve">в сумме  1 406 058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исполнен в сумме 1 352 944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или 96,2%: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Структура расходов бюджета за 2023 год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                                                                             </w:t>
      </w:r>
      <w:r>
        <w:rPr>
          <w:rFonts w:ascii="Calibri" w:eastAsia="Calibri" w:hAnsi="Calibri" w:cs="Calibri"/>
          <w:color w:val="000000"/>
        </w:rPr>
        <w:t>                                                               (тыс. рублей)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219"/>
        <w:gridCol w:w="1514"/>
        <w:gridCol w:w="1470"/>
        <w:gridCol w:w="1422"/>
        <w:gridCol w:w="1422"/>
      </w:tblGrid>
      <w:tr w:rsidR="00321538"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исполнения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исполнения от общего объема исполнения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175 288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169 488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96,7 %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2 867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2 798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97,6 %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9 556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8 333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174 486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161 815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92,7%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269 968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250 260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92,7%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1 006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596 470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584 309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97,9%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 и кинематография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96 946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96 859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39 396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38 009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96,5%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37 366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37 358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99,98%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2 708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2 708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0,2</w:t>
            </w:r>
          </w:p>
        </w:tc>
      </w:tr>
      <w:tr w:rsidR="0032153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расходов: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1 406 058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1 352 944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</w:tbl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Исполнение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программным и непрограммным расходам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2325"/>
        <w:gridCol w:w="2324"/>
        <w:gridCol w:w="2050"/>
      </w:tblGrid>
      <w:tr w:rsidR="00321538">
        <w:trPr>
          <w:trHeight w:val="20"/>
        </w:trPr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муниципальных программ и непрограммных направлений деятельности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Уточненный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план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исполнения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бюджета, всего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1 406 058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1 352 944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96,2%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реализацию муниципальных программ, всего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""Развитие образования, молодежной политики и физической культуры и спорта в Псковском районе ""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651 618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638 262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97,9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"Развитие культуры в Псковском районе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96 506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96 418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 "Содействие экономическому развитию и инвестиционной привлекате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льности Псковского района 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1 748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"Обеспечение безопасности граждан на территории Псковского района 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92,9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«Комплексное развитие систем коммунальной инфраструктуры и благоустройства Псковского района »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197 465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188 717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95,6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«Развитие транспортного обслуживания населения на территории Псковского района »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108 014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101 423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93,9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Псковского района »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82 020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81 285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 "Противодействие экстремизму и проф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илактика терроризма на территории муниципального образования "Псковский район"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4 526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4 519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Псковского района 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11 394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11 394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МП 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Псковского района 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30 840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28 790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93,4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Программа "Комплексное социально-экономическое развитие сельского поселения"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149 167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131 246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32153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70 736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67 558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</w:tbl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                          </w:t>
      </w:r>
    </w:p>
    <w:p w:rsidR="00321538" w:rsidRDefault="00CB143A">
      <w:pPr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Районный бюджет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Доходы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2023 год поступило доходов в бюджет района всего в сумме 1 167 209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при плане  1 147 366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Исполнение бюджета района по доходам составило 101,7 %. Сверх плана привлечено в бюджет 19 843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Налоговые и неналоговые доходы в </w:t>
      </w:r>
      <w:r>
        <w:rPr>
          <w:rFonts w:ascii="Times New Roman" w:eastAsia="Times New Roman" w:hAnsi="Times New Roman" w:cs="Times New Roman"/>
          <w:color w:val="000000"/>
        </w:rPr>
        <w:t xml:space="preserve">общем объеме доходов районного бюджета составили  37,2 %. При плане их поступления в сумме 393 359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фактически получено 433 936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., что составило 110,3 % к плану.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структуре поступлений налоговых и неналоговых доходов в районный бюджет наибо</w:t>
      </w:r>
      <w:r>
        <w:rPr>
          <w:rFonts w:ascii="Times New Roman" w:eastAsia="Times New Roman" w:hAnsi="Times New Roman" w:cs="Times New Roman"/>
          <w:color w:val="000000"/>
        </w:rPr>
        <w:t xml:space="preserve">льший удельный вес занимают: налог на доходы физических лиц – 76,9 %; налог на совокупный доход – 9,5%.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налогу на доходы физических лиц фактические поступления составили 333 881 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или 118,4 % к плану. По сравнению с фактом предыдущего года пост</w:t>
      </w:r>
      <w:r>
        <w:rPr>
          <w:rFonts w:ascii="Times New Roman" w:eastAsia="Times New Roman" w:hAnsi="Times New Roman" w:cs="Times New Roman"/>
          <w:color w:val="000000"/>
        </w:rPr>
        <w:t xml:space="preserve">упления НДФЛ увеличились на сумму      70 177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в основном за счет  роста средней заработной платы и контингента;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Акцизов по подакцизным товарам (продукции), производимым на территории Российской Федерации, поступило за отчетный период в сумме 18 87</w:t>
      </w:r>
      <w:r>
        <w:rPr>
          <w:rFonts w:ascii="Times New Roman" w:eastAsia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116,4 % к плану 16 217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доходам от использования имущества, находящегося в муниципальной собственности, при плане поступлений в сумме 13 703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фактически поступило 14 701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107,3 %.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Доходы от продажи материа</w:t>
      </w:r>
      <w:r>
        <w:rPr>
          <w:rFonts w:ascii="Times New Roman" w:eastAsia="Times New Roman" w:hAnsi="Times New Roman" w:cs="Times New Roman"/>
          <w:color w:val="000000"/>
        </w:rPr>
        <w:t xml:space="preserve">льных и нематериальных активов за отчетный период поступили в сумме 16 308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103,1 % к плановым назначениям в сумме 15 815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По сравнению с фактом предыдущего года поступления от продажи материальных и нематериальных активов увеличились н</w:t>
      </w:r>
      <w:r>
        <w:rPr>
          <w:rFonts w:ascii="Times New Roman" w:eastAsia="Times New Roman" w:hAnsi="Times New Roman" w:cs="Times New Roman"/>
          <w:color w:val="000000"/>
        </w:rPr>
        <w:t xml:space="preserve">а сумму 1300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 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Фактические поступления по штрафам, санкциям, возмещению ущерба составили всего в сумме          5 966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135,5 % к годовому плану 4 402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 областного бюджета в отчетном периоде поступили дотации всего в сумме 36</w:t>
      </w:r>
      <w:r>
        <w:rPr>
          <w:rFonts w:ascii="Times New Roman" w:eastAsia="Times New Roman" w:hAnsi="Times New Roman" w:cs="Times New Roman"/>
          <w:color w:val="000000"/>
        </w:rPr>
        <w:t xml:space="preserve"> 619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100,0 % плановых назначений.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Субсидий из областного бюджета поступило всего в сумме 257 963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98 % плановых назначений в сумме 263 217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Поступления субвенций из областного бюджета составили 323 343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или 99,</w:t>
      </w:r>
      <w:r>
        <w:rPr>
          <w:rFonts w:ascii="Times New Roman" w:eastAsia="Times New Roman" w:hAnsi="Times New Roman" w:cs="Times New Roman"/>
          <w:color w:val="000000"/>
        </w:rPr>
        <w:t xml:space="preserve">6% к плану         324 653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Иных межбюджетных трансфертов поступило всего в сумме 128 030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 98,9 % к плану       129 518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Расходы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Районный бюджет по расходам за 2023 год при плановых назначениях в сумме 1 236 623 тыс. рублей, исполнен в сумме 1 203 729 тыс. рублей или 97,3 %, по своей экономической структуре расходов он имел социальную направленность.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Ключевым направлением бюджетной</w:t>
      </w:r>
      <w:r>
        <w:rPr>
          <w:rFonts w:ascii="Times New Roman" w:eastAsia="Times New Roman" w:hAnsi="Times New Roman" w:cs="Times New Roman"/>
          <w:color w:val="000000"/>
        </w:rPr>
        <w:t xml:space="preserve"> политики являлось достижение целей, обозначенных в Указе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года». Безусловным приоритетом являлось испол</w:t>
      </w:r>
      <w:r>
        <w:rPr>
          <w:rFonts w:ascii="Times New Roman" w:eastAsia="Times New Roman" w:hAnsi="Times New Roman" w:cs="Times New Roman"/>
          <w:color w:val="000000"/>
        </w:rPr>
        <w:t xml:space="preserve">нение действующих расходных обязательств, в первую очередь социально-ориентированных.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Просроченной кредиторской задолженности на 01.01.2024г.  нет.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321538" w:rsidRDefault="00CB143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b/>
          <w:color w:val="000000"/>
        </w:rPr>
        <w:t xml:space="preserve">Структура расходов районного бюджета за 2023 год </w:t>
      </w:r>
    </w:p>
    <w:p w:rsidR="00321538" w:rsidRDefault="00CB143A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                        </w:t>
      </w:r>
      <w:r>
        <w:rPr>
          <w:rFonts w:ascii="Calibri" w:eastAsia="Calibri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                    (тыс. рублей)</w:t>
      </w:r>
    </w:p>
    <w:tbl>
      <w:tblPr>
        <w:tblW w:w="15720" w:type="dxa"/>
        <w:tblInd w:w="-4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480"/>
        <w:gridCol w:w="1639"/>
        <w:gridCol w:w="1475"/>
        <w:gridCol w:w="4826"/>
      </w:tblGrid>
      <w:tr w:rsidR="00321538">
        <w:trPr>
          <w:trHeight w:val="673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3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123 581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119 969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2 798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321538">
        <w:trPr>
          <w:trHeight w:val="691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115 984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109 097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211 365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202 528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ОКРУЖАЮЩЕЙ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596 471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584 309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96 859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37 231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37 358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2153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1 236 623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1 203 729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</w:tbl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 году на реализацию 4 нацпроектов, реализуемых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Псковского район бюджет муниципального образования из федерального и областного бюджетов получил        84 400 тыс. рублей.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Выделенные средства освоены: по региональному проекту «Успех каждого ребенка» национального проекта «Образование» -2 040,6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региональному проекту «Чистая вода» национального проекта "Жилье и городская среда" -   48 380,6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региональному проекту «Формирование комфортной городской среды» национального проекта "Жилье и городская среда" -11 394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иональному проекту "Обеспечение качественно нового уровня развития инфраструктуры культуры" национального проекта "Культура" - 19 050,6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региональному проекту "Создание условий для реализации творческого потенциала нации"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национального 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"Культура" - 153,0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региональному проекту "Современная школа" национального проекта "Образование" - 446,2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региональному проекту "Создание для всех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населения условий для занятий физической культурой и спортом,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массовым спортом, в том числе повышения уровня обеспеченности населения объектами спорта, а также подготовка спортивного резерва" национального проекта "Демография" -2 935,0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Также были привлечены на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местного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в сумме 3 892,3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Районный бюджет на 2023 год сформирован в программной структуре расходов на основе утвержденных Администрацией района 10 муниципальных программ и расходов на непрограммные направления деятельности.</w:t>
      </w:r>
    </w:p>
    <w:p w:rsidR="00321538" w:rsidRDefault="00CB143A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</w:t>
      </w:r>
    </w:p>
    <w:p w:rsidR="00321538" w:rsidRDefault="00CB143A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програм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мным и непрограммным расходам</w:t>
      </w:r>
    </w:p>
    <w:p w:rsidR="00321538" w:rsidRDefault="00CB143A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                                                 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2349"/>
        <w:gridCol w:w="2348"/>
        <w:gridCol w:w="2072"/>
      </w:tblGrid>
      <w:tr w:rsidR="00321538">
        <w:trPr>
          <w:trHeight w:val="20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муниципальных программ и непрограммных направлений деятельности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исполн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районного  бюджета, всего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1 236 623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1 203 729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муниципальных программ, всего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1 167 620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1 137 573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1538">
        <w:trPr>
          <w:trHeight w:val="44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Псковского района "Развитие образования, молодежной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политики и физической культуры и спорта в Псковском районе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651 618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638 262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Псковского района "Развитие культуры в Псковском районе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96 506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экономическому развитию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 привлекательности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Псковского района "Обеспечение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граждан на территории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Псковского района "Комплексное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 коммунальной инфраструктуры и благоустройства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200 317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Псковского района "Развитие транспортного обслуживания населения на территории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108 714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102 123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ипальная программа Псковского района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Псковского района 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86 758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Псковского района "Противодействие экстремизму и профилактика терроризма на территории муниципального образования "Псковский район"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11 394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11 394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2153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69 003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66 156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</w:tbl>
    <w:p w:rsidR="00321538" w:rsidRDefault="00CB143A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Непрограммные расходы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средств районного бюджета: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- обеспечение деятельности Собрания депутатов Псковского района по плану                       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088,0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исполнение составило 2 954,8 тыс. руб. или 95,7 %;                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     Резервный фонд Правительства Псковской области исполнен в сумме  3 611,3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плане  3 631,3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возмещением расходов, связанных с траурным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мероприятиями.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_Hlk3413870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Резервный фонд по распоряжениям Администрации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Псковского района исполнен в сумме     2 614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в том числе: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          -368,2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на материальную помощь гражданам Псковского района в связи с тяжелыми жизненными обсто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ятельствами;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   -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                - 530,5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материальной помощи семьям военнослужащих, погибших при защите интересов государства; 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    - 374,4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разовое поощрение победителей районного конкурса "Учит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России-2023", "Воспитатель  Россси-2023",разовое поощрение муниципальных служащих и должностных лиц органов местного самоуправления, в связи с юбилейными датами, за заслуги перед районом;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         - 1 340,9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иные цели;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Резервный фонд по предупреждению и ликвидации чрезвычайных ситуаций Администрации района при плане 1 704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 в сумме 744,6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321538" w:rsidRDefault="00CB143A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-199,0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наружной теплотрассы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1538" w:rsidRDefault="00CB143A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- 89,3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неотложные работы по изъятию контейнера с источником ионизирующего излучения, обнаруженного в СНТ "Мирное";</w:t>
      </w:r>
    </w:p>
    <w:p w:rsidR="00321538" w:rsidRDefault="00CB143A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- 340,4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материалов для выполнения работ на участке сетей горячего водоснабжения и сетей теплоснабжения к многоквар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тирному жилому дому и д/саду "Золотой петушок"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1538" w:rsidRDefault="00CB143A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- 102,4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меропритяий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стабилизации паводковой обстановки в 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еелово-2;</w:t>
      </w:r>
    </w:p>
    <w:p w:rsidR="00321538" w:rsidRDefault="00CB143A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  13,5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работ по ремонту теплотрассы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орисовичи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21538" w:rsidRDefault="00CB143A">
      <w:pPr>
        <w:spacing w:before="240" w:after="240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аздел 4. Анализ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показателей бухгалтерской отчетности субъекта бюджетной отчетности</w:t>
      </w:r>
    </w:p>
    <w:p w:rsidR="00321538" w:rsidRDefault="00CB143A">
      <w:pPr>
        <w:spacing w:before="240" w:after="240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справке ф. 410 по заключению счетов бюджетного учета отчетного финансового года отражено:</w:t>
      </w:r>
    </w:p>
    <w:p w:rsidR="00321538" w:rsidRDefault="00CB143A">
      <w:pPr>
        <w:spacing w:before="240" w:after="240"/>
        <w:ind w:firstLine="700"/>
        <w:jc w:val="both"/>
        <w:rPr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 </w:t>
      </w:r>
    </w:p>
    <w:tbl>
      <w:tblPr>
        <w:tblW w:w="864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80"/>
        <w:gridCol w:w="1380"/>
        <w:gridCol w:w="2660"/>
      </w:tblGrid>
      <w:tr w:rsidR="00321538">
        <w:trPr>
          <w:trHeight w:val="540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bookmarkStart w:id="2" w:name="_dx_frag_StartFragment"/>
            <w:bookmarkEnd w:id="2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Пояснения</w:t>
            </w:r>
          </w:p>
        </w:tc>
      </w:tr>
      <w:tr w:rsidR="003215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321538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Доходы от оценки активов и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обязательств,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1538">
        <w:trPr>
          <w:trHeight w:val="100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1.805.55, 1.108.51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1 976 675,78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 конец года произведена переоценка кадастровой стоимости имущества казны: земельных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участков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вартиры</w:t>
            </w:r>
            <w:proofErr w:type="spellEnd"/>
          </w:p>
        </w:tc>
      </w:tr>
      <w:tr w:rsidR="00321538">
        <w:trPr>
          <w:trHeight w:val="15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в корреспонденции со счетами 1.108.55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-1 994 735,37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Переоценка активов на 01.01.2024 по кадастровой стоимости (изменение кадастровой стоимости согласно сайту "Публичная карта ПКК Псковской области")</w:t>
            </w:r>
          </w:p>
        </w:tc>
      </w:tr>
      <w:tr w:rsidR="00321538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Чрезвычайные доходы от операций с активами, всего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1538">
        <w:trPr>
          <w:trHeight w:val="300"/>
        </w:trPr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1 205.00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-26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876,57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Неуплата текущих начислений, в том числе по уведомлениям об исчисленных суммах налогов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 данным отчета УФНС России по Псковской области)</w:t>
            </w:r>
          </w:p>
        </w:tc>
      </w:tr>
      <w:tr w:rsidR="00321538">
        <w:trPr>
          <w:trHeight w:val="49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32153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-725 513,37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321538">
            <w:pPr>
              <w:rPr>
                <w:color w:val="000000"/>
                <w:sz w:val="24"/>
              </w:rPr>
            </w:pPr>
          </w:p>
        </w:tc>
      </w:tr>
      <w:tr w:rsidR="00321538">
        <w:trPr>
          <w:trHeight w:val="420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32153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-83,24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321538">
            <w:pPr>
              <w:rPr>
                <w:color w:val="000000"/>
                <w:sz w:val="24"/>
              </w:rPr>
            </w:pPr>
          </w:p>
        </w:tc>
      </w:tr>
      <w:tr w:rsidR="00321538">
        <w:trPr>
          <w:trHeight w:val="34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32153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-139 447,50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321538">
            <w:pPr>
              <w:rPr>
                <w:color w:val="000000"/>
                <w:sz w:val="24"/>
              </w:rPr>
            </w:pPr>
          </w:p>
        </w:tc>
      </w:tr>
      <w:tr w:rsidR="00321538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1.205.81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96 441,67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Аванс на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покупку земельного участка</w:t>
            </w:r>
          </w:p>
        </w:tc>
      </w:tr>
      <w:tr w:rsidR="00321538">
        <w:trPr>
          <w:trHeight w:val="15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1.205.81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-2 198 561,30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Ликвидированы: ООО "Капитально-дорожное строительство", ООО "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ПсковДорСпецСтрой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", ООО "Шельф Северо-Запад", ООО "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Элегма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", ООО "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Стройсистема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321538">
        <w:trPr>
          <w:trHeight w:val="17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Безвозмездные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поступления текущего характера от сектора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государстенного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управления и организаций государственного управления и организаций государственного сектора,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1538">
        <w:trPr>
          <w:trHeight w:val="1155"/>
        </w:trPr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1.105.36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30 895,00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Передача материальных запасов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(новогодних игрушек) от Администрации Псковского района сельским поселениям</w:t>
            </w:r>
          </w:p>
        </w:tc>
      </w:tr>
      <w:tr w:rsidR="00321538">
        <w:trPr>
          <w:trHeight w:val="1380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32153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Передача материальных запасов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фотоловушка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флешка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к ней) от Центра оказания услуг  сельским поселениям</w:t>
            </w:r>
          </w:p>
        </w:tc>
      </w:tr>
      <w:tr w:rsidR="00321538">
        <w:trPr>
          <w:trHeight w:val="231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Безвозмездные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поступления капитального характера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от сектора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государстенного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управления и организаций государственного управления и организаций государственного сектора,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1538">
        <w:trPr>
          <w:trHeight w:val="930"/>
        </w:trPr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33 892 792,86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Поступление имущества казны: физкультурно-оздоровительный комплекс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открытого типа</w:t>
            </w:r>
          </w:p>
        </w:tc>
      </w:tr>
      <w:tr w:rsidR="00321538">
        <w:trPr>
          <w:trHeight w:val="181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имущества казны: передача квартир от Администрации сельского поселения Карамышевская  волость д.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Быстрецово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Администрации Псковского района</w:t>
            </w:r>
          </w:p>
        </w:tc>
      </w:tr>
      <w:tr w:rsidR="00321538">
        <w:trPr>
          <w:trHeight w:val="1110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1 327 591,10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Передача дома культуры Администрации Псковского района от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сельского поселения Ядровская волость д. Горушка</w:t>
            </w:r>
          </w:p>
        </w:tc>
      </w:tr>
      <w:tr w:rsidR="00321538">
        <w:trPr>
          <w:trHeight w:val="1860"/>
        </w:trPr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4 067 062,50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от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КОМИТЕТа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 ПО СТРОИТЕЛЬСТВУ И ЖИЛИЩНО-КОММУНАЛЬНОМУ ХОЗЯЙСТВУ ПСКОВСКОЙ ОБЛАСТИ пластиковых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кантейнеров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для раздельного хранения твердых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бытовых отходов</w:t>
            </w:r>
          </w:p>
        </w:tc>
      </w:tr>
      <w:tr w:rsidR="00321538">
        <w:trPr>
          <w:trHeight w:val="184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600 348,14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Поступление имущества казны от Государственного бюджетного учреждения Псковской области "Центр оценки качества образования": ноутбуки, видеокамеры, радиостанции</w:t>
            </w:r>
          </w:p>
        </w:tc>
      </w:tr>
      <w:tr w:rsidR="00321538">
        <w:trPr>
          <w:trHeight w:val="184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412 907,75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Передача Администрацией Псковского района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сельскому поселению имущество: детская игровая площадка в.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Похвальщино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спортивный комплекс для занятий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воркаутом</w:t>
            </w:r>
            <w:proofErr w:type="spellEnd"/>
          </w:p>
        </w:tc>
      </w:tr>
      <w:tr w:rsidR="00321538">
        <w:trPr>
          <w:trHeight w:val="262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26 262 626,35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имущества казны от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ГОСУДАРСТВЕННОго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БЮДЖЕТНОго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УЧРЕЖДЕНИЯ ПСКОВСКОЙ ОБЛАСТИ "ЦЕНТР СПОРТИВНОЙ ПОДГОТОВКИ": комп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лект для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воркаута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покрытие для площадки, тренажер уличный силовой, ворота футбольные, трибуна сборно-разборная</w:t>
            </w:r>
          </w:p>
        </w:tc>
      </w:tr>
      <w:tr w:rsidR="00321538">
        <w:trPr>
          <w:trHeight w:val="160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23 001 314,42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от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КОМИТЕТа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ПО ОБРАЗОВАНИЮ ПСКОВСКОЙ ОБЛАСТИ: ноутбуки, интерактивная панель, МФУ, стулья, шкафы,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учебно-тренировочный комплекс</w:t>
            </w:r>
          </w:p>
        </w:tc>
      </w:tr>
      <w:tr w:rsidR="00321538">
        <w:trPr>
          <w:trHeight w:val="1605"/>
        </w:trPr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4 675 747,99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Передача Администрацией Псковского района сельскому поселению имущество: линия уличного освещения, асфальтированная стоянка, пешеходная дорожка</w:t>
            </w:r>
          </w:p>
        </w:tc>
      </w:tr>
      <w:tr w:rsidR="00321538">
        <w:trPr>
          <w:trHeight w:val="136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8 037 405,18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Передача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Администрацией Псковского района сельскому поселению благоустроенной общественной территории в д. Неелово-1, ул. Каменская</w:t>
            </w:r>
          </w:p>
        </w:tc>
      </w:tr>
      <w:tr w:rsidR="00321538">
        <w:trPr>
          <w:trHeight w:val="100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287 907,75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Детская площадка в д.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Крипецкое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полученная безвозмездно от Псковского района</w:t>
            </w:r>
          </w:p>
        </w:tc>
      </w:tr>
      <w:tr w:rsidR="00321538">
        <w:trPr>
          <w:trHeight w:val="117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2 232 968,00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Передача Администрацией Псковского района сельскому поселению детский игровой комплекс, волейбольная площадка д.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Череха</w:t>
            </w:r>
            <w:proofErr w:type="spellEnd"/>
          </w:p>
        </w:tc>
      </w:tr>
      <w:tr w:rsidR="00321538">
        <w:trPr>
          <w:trHeight w:val="117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2 413,88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Получен от КУГИ Псковской области Земельный участок под детскую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площадку в д. Горушка</w:t>
            </w:r>
          </w:p>
        </w:tc>
      </w:tr>
      <w:tr w:rsidR="00321538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безвозмездные поступления,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1538">
        <w:trPr>
          <w:trHeight w:val="19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14 396 422,52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имущества казны Администрации Псковского района: устройство уличного освещения в д. Родина, погреб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Рюжской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школы, котел газогенераторный, автомобильная дорога "Большая Гоголевка"</w:t>
            </w:r>
          </w:p>
        </w:tc>
      </w:tr>
      <w:tr w:rsidR="00321538">
        <w:trPr>
          <w:trHeight w:val="166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97 442 227,43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Поступило в казну муниципального образования: земельные участки из-за отказа застройщика от них, оформлен земельный участок под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дорогу, поставлены на учет линии уличного освещения </w:t>
            </w:r>
          </w:p>
        </w:tc>
      </w:tr>
      <w:tr w:rsidR="00321538">
        <w:trPr>
          <w:trHeight w:val="97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1.101.13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1 933 889,23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Приняты к учету бесхозные квартиры в дер.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Быстрецово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приняты к учету земельные участки</w:t>
            </w:r>
          </w:p>
        </w:tc>
      </w:tr>
      <w:tr w:rsidR="00321538">
        <w:trPr>
          <w:trHeight w:val="12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в корреспонденции со счетами 1.108.55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2 453 396,98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Принят на учет в сельское поселение Ядровская волость земельный участок в д.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Барбаши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под индивидуальное жилищное строительство</w:t>
            </w:r>
          </w:p>
        </w:tc>
      </w:tr>
      <w:tr w:rsidR="00321538">
        <w:trPr>
          <w:trHeight w:val="70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1.401.10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-4 559 862,86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Начислена Амортизация имущества казны </w:t>
            </w:r>
          </w:p>
        </w:tc>
      </w:tr>
      <w:tr w:rsidR="00321538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Иные доходы,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21538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корреспонденции со счетами 1.205.00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634 666,64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Доходы, получаемые в виде платы за размещение объектов</w:t>
            </w:r>
          </w:p>
        </w:tc>
      </w:tr>
    </w:tbl>
    <w:p w:rsidR="00321538" w:rsidRDefault="00CB143A">
      <w:pPr>
        <w:spacing w:before="240" w:after="240"/>
        <w:jc w:val="both"/>
        <w:rPr>
          <w:color w:val="000000"/>
        </w:rPr>
      </w:pPr>
      <w:bookmarkStart w:id="3" w:name="_dx_frag_EndFragment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по дебиторской и кредиторской задолженности представлены в форме 0503369.</w:t>
      </w:r>
    </w:p>
    <w:p w:rsidR="00321538" w:rsidRDefault="00CB143A">
      <w:pPr>
        <w:spacing w:before="240" w:after="240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дебиторской задолженности по суммам 1 миллион рублей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характеризуется следующими данными:</w:t>
      </w:r>
    </w:p>
    <w:tbl>
      <w:tblPr>
        <w:tblW w:w="819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672"/>
        <w:gridCol w:w="1837"/>
        <w:gridCol w:w="2859"/>
      </w:tblGrid>
      <w:tr w:rsidR="00321538">
        <w:trPr>
          <w:trHeight w:val="90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(в руб.)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просроченная задолженность</w:t>
            </w:r>
          </w:p>
        </w:tc>
        <w:tc>
          <w:tcPr>
            <w:tcW w:w="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Причина образования</w:t>
            </w:r>
          </w:p>
        </w:tc>
      </w:tr>
      <w:tr w:rsidR="00321538">
        <w:trPr>
          <w:trHeight w:val="91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120511000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22 929 247,08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22 236 382,13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данным отчета УФНС России по Псковской области</w:t>
            </w:r>
          </w:p>
        </w:tc>
      </w:tr>
      <w:tr w:rsidR="00321538">
        <w:trPr>
          <w:trHeight w:val="208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120523004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83 909 424,56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расчеты с иными нефинансовыми организациями по доходам, получаемых в виде арендной платы за земельные участки, государственная собственность на которые не разграничена (с учетом начисления доходов будущих периодов до конца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договоров аренды)</w:t>
            </w:r>
          </w:p>
        </w:tc>
      </w:tr>
      <w:tr w:rsidR="00321538">
        <w:trPr>
          <w:trHeight w:val="208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120523007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136 553 338,47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расчеты с физическими лицами по доходам, получаемых в виде арендной платы за земельные участки, государственная собственность на которые не разграничена (с учетом начисления доходов будущих периодов до конца действия договоров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аренды)</w:t>
            </w:r>
          </w:p>
        </w:tc>
      </w:tr>
      <w:tr w:rsidR="00321538">
        <w:trPr>
          <w:trHeight w:val="155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120545000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2 054 476,44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сумму штрафа КПДН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исполнительному листу, по данным отчета Министерства внутренних дел Российской Федерации числится невозможная к взысканию задолженность</w:t>
            </w:r>
          </w:p>
        </w:tc>
      </w:tr>
      <w:tr w:rsidR="00321538">
        <w:trPr>
          <w:trHeight w:val="990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120551001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1 416 461 919,44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расчеты по поступлениям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текущего характера от других бюджетов бюджетной системы Российской Федерации</w:t>
            </w:r>
          </w:p>
        </w:tc>
      </w:tr>
      <w:tr w:rsidR="00321538">
        <w:trPr>
          <w:trHeight w:val="30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120558009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9 235 962,97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гранты от нерезидентов</w:t>
            </w:r>
          </w:p>
        </w:tc>
      </w:tr>
      <w:tr w:rsidR="00321538">
        <w:trPr>
          <w:trHeight w:val="1126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120561001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</w:tr>
      <w:tr w:rsidR="00321538">
        <w:trPr>
          <w:trHeight w:val="780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120631004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90 584 613,59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квартиры путем участия в долевом строительстве многоквартирного жилого дома для обеспечения жилыми помещениями детей-сирот и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оставшихся без попечения родителей, лиц из числа детей-сирот и детей , оставшихся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 попечения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родителей;выборочный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капитальный ремонт МБОУ "Родинская СОШ"</w:t>
            </w:r>
          </w:p>
        </w:tc>
      </w:tr>
    </w:tbl>
    <w:p w:rsidR="00321538" w:rsidRDefault="00CB143A">
      <w:pPr>
        <w:spacing w:before="240" w:after="240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кредиторской задолженности по суммам 1 миллион рублей и более характеризуется следующими данными:</w:t>
      </w:r>
    </w:p>
    <w:tbl>
      <w:tblPr>
        <w:tblW w:w="8685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193"/>
        <w:gridCol w:w="1923"/>
        <w:gridCol w:w="2794"/>
      </w:tblGrid>
      <w:tr w:rsidR="00321538">
        <w:trPr>
          <w:trHeight w:val="1218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 (в руб.)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просроченная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Причина образования</w:t>
            </w:r>
          </w:p>
        </w:tc>
      </w:tr>
      <w:tr w:rsidR="00321538">
        <w:trPr>
          <w:trHeight w:val="702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120511000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2 411 525,22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данным отчета УФНС России по Псковской области</w:t>
            </w:r>
          </w:p>
        </w:tc>
      </w:tr>
      <w:tr w:rsidR="00321538">
        <w:trPr>
          <w:trHeight w:val="1430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120523007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2 915 552,50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расчеты с физическими лицами по доходам,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виде арендной платы за земельные участки,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собственность на которые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разграничена</w:t>
            </w:r>
          </w:p>
        </w:tc>
      </w:tr>
      <w:tr w:rsidR="00321538">
        <w:trPr>
          <w:trHeight w:val="1891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120523004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2 168 868,04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расчеты с иными нефинансовыми организациями по доходам,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виде арендной платы за земельные участки, государственная собственность на которые не разграничена</w:t>
            </w:r>
          </w:p>
        </w:tc>
      </w:tr>
      <w:tr w:rsidR="00321538">
        <w:trPr>
          <w:trHeight w:val="1218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120573007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1 633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      </w:r>
          </w:p>
        </w:tc>
      </w:tr>
    </w:tbl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Дебиторская и кредиторская задолженность (в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просроченная) на 1 января 2024 года по одному контракту и одному контрагенту свыше 1 млн. рублей отсутствует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tbl>
      <w:tblPr>
        <w:tblW w:w="1041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695"/>
        <w:gridCol w:w="1544"/>
        <w:gridCol w:w="1590"/>
        <w:gridCol w:w="1564"/>
        <w:gridCol w:w="2292"/>
      </w:tblGrid>
      <w:tr w:rsidR="00321538">
        <w:trPr>
          <w:trHeight w:val="132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Сумма на 01.01.2023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Сумма на 01.01.2024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Отклонения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Причины увеличения просроченной задолженности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Принимаемые м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еры</w:t>
            </w:r>
          </w:p>
        </w:tc>
      </w:tr>
      <w:tr w:rsidR="00321538">
        <w:trPr>
          <w:trHeight w:val="3585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Общая сумма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1 852 075 714,81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1 774 576 154,40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-77 499 560,41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правильностью составления и оформления договоров с контрагентами 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соответсвии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с действующим законодательством, контроль за сроками оплаты договоров,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контроль за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своевремменным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осуществлением платежей</w:t>
            </w:r>
          </w:p>
        </w:tc>
      </w:tr>
      <w:tr w:rsidR="00321538">
        <w:trPr>
          <w:trHeight w:val="102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в том числе просроченная дебиторская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25 015 739,17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22 236 382,13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-2 779 357,04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21538">
        <w:trPr>
          <w:trHeight w:val="1785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Отношение просроченной дебиторской задолженности к общему объему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21538">
        <w:trPr>
          <w:trHeight w:val="1035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Общая сумма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40 757 367,70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12 650 301,99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-28 107 065,71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Осуществление  взаимной сверки расчетов, проведение претензионной работы</w:t>
            </w:r>
          </w:p>
        </w:tc>
      </w:tr>
      <w:tr w:rsidR="00321538">
        <w:trPr>
          <w:trHeight w:val="102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в том числе просроченная 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21538">
        <w:trPr>
          <w:trHeight w:val="1785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Отношение просроченной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кредиторской задолженности к общему объему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финансовых вложениях по состоянию на 01.01.2024 года представлены в форме 0503371.  По состоянию на 01.01.2024 года финансовые вложения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Псковский район" составило в сумме 993 355 079,02 руб.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вложениях в объекты недвижимого имущества, объектах незавершенного строительства представлены в форме 0503190.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консолидируемых расчетов в форме 0503320: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85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601"/>
        <w:gridCol w:w="2264"/>
        <w:gridCol w:w="1917"/>
        <w:gridCol w:w="1388"/>
      </w:tblGrid>
      <w:tr w:rsidR="00321538">
        <w:trPr>
          <w:trHeight w:val="300"/>
        </w:trPr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№ Счета</w:t>
            </w:r>
          </w:p>
        </w:tc>
        <w:tc>
          <w:tcPr>
            <w:tcW w:w="3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Районный бюджет</w:t>
            </w:r>
            <w:r>
              <w:rPr>
                <w:rFonts w:ascii="Calibri" w:eastAsia="Calibri" w:hAnsi="Calibri" w:cs="Calibri"/>
                <w:color w:val="000000"/>
              </w:rPr>
              <w:t xml:space="preserve"> (сумма в руб. с коп)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Бюджеты сельских поселений</w:t>
            </w:r>
          </w:p>
        </w:tc>
      </w:tr>
      <w:tr w:rsidR="00321538">
        <w:trPr>
          <w:trHeight w:val="300"/>
        </w:trPr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передано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передано</w:t>
            </w:r>
          </w:p>
        </w:tc>
      </w:tr>
      <w:tr w:rsidR="003215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11 009 665,57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11 009 665,57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215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11 009 665,57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11 009 665,57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отрицательных показателей в форме 0503321: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 строки 039 в сумме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5 609 975,10 руб. – списание объектов казны, упущенная выгода.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строки 092 в сумме – 22 519 549,54 руб. – списание кадастровой стоимости земли сельских поселений.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строки 093 в сумме -2 994 040,31 руб. – списание неустойки невозможной к взысканию.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строки 096 в сумме – 18 059,59 руб.- переоценка кадастровой стоимости имущества казны, земельных участков, квартир.</w:t>
      </w:r>
    </w:p>
    <w:tbl>
      <w:tblPr>
        <w:tblW w:w="885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601"/>
        <w:gridCol w:w="2264"/>
        <w:gridCol w:w="1917"/>
        <w:gridCol w:w="1388"/>
      </w:tblGrid>
      <w:tr w:rsidR="00321538">
        <w:trPr>
          <w:trHeight w:val="300"/>
        </w:trPr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№ Счета</w:t>
            </w:r>
          </w:p>
        </w:tc>
        <w:tc>
          <w:tcPr>
            <w:tcW w:w="3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Районный бюджет (сумма в руб. с коп)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Бюджеты сельских поселений</w:t>
            </w:r>
          </w:p>
        </w:tc>
      </w:tr>
      <w:tr w:rsidR="00321538">
        <w:trPr>
          <w:trHeight w:val="300"/>
        </w:trPr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передано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передано</w:t>
            </w:r>
          </w:p>
        </w:tc>
      </w:tr>
      <w:tr w:rsidR="0032153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11 009 665,57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11 009 665,57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1538" w:rsidRDefault="00CB143A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321538" w:rsidRDefault="00CB143A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00"/>
        <w:rPr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 </w:t>
      </w:r>
    </w:p>
    <w:tbl>
      <w:tblPr>
        <w:tblW w:w="1330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1"/>
        <w:gridCol w:w="6"/>
        <w:gridCol w:w="6"/>
        <w:gridCol w:w="6"/>
        <w:gridCol w:w="6"/>
      </w:tblGrid>
      <w:tr w:rsidR="00321538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</w:tr>
      <w:tr w:rsidR="00321538">
        <w:trPr>
          <w:trHeight w:val="300"/>
        </w:trPr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321538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</w:tr>
      <w:tr w:rsidR="003215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Протокол МДК ф. 0503317 и 0503387</w:t>
            </w:r>
          </w:p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протоколе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междокументного контроля формы 0503387 с формой 0503317 имеются расхождения в отчете ф. 0503317 с ф. 0503387 «Справочная таб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 к отчету об исполнении консолидированного бюджета субъекта Российской Федерации», в том числе по графам</w:t>
            </w:r>
          </w:p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tbl>
            <w:tblPr>
              <w:tblW w:w="9630" w:type="dxa"/>
              <w:tblInd w:w="11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4533"/>
              <w:gridCol w:w="1716"/>
              <w:gridCol w:w="1969"/>
            </w:tblGrid>
            <w:tr w:rsidR="00321538">
              <w:tc>
                <w:tcPr>
                  <w:tcW w:w="1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-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Ф. 0503317G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-18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Ф.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0503387G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1538" w:rsidRDefault="00CB143A">
                  <w:pPr>
                    <w:ind w:right="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Разница (рублей)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321538">
              <w:trPr>
                <w:trHeight w:val="1072"/>
              </w:trPr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121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гр.06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left="-100" w:right="-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00110+00210+00301+00401+00501+00601+00801 гр.05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1 871 570,35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 ф. 0503387 отражены расходы по стр. 00200 и 00800, на содержание работников органов местного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самоуправления, осуществляющих воинский учет, на территориях, где отсутствуют военные комиссариаты</w:t>
                  </w:r>
                </w:p>
              </w:tc>
            </w:tr>
            <w:tr w:rsidR="00321538"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121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00110+00210+00301+00401+00501+00601+00801 гр.19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77 965,00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121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гр.16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Сумма строк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00110+00210+00301+00401+00501+00601+00801 гр.23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1 793 605,35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121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гр.20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00110+00210+00301+00401+00501+00601+00801 гр.25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1 818 482,19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121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гр.28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Сумма строк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00110+00210+00301+00401+00501+00601+00801 гр.39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49 218,92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121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гр.30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00110+00210+00301+00401+00501+00601+00801 гр.43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1 769 263,27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129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 06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Сумма строк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00130+00230+00303+00403+00503+00603+00803 гр.05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564 574,65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Сумма расходов по ВР 129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 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00130+00230+00303+00403+00503+00603+00803 гр.19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23 545,00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rPr>
                <w:trHeight w:val="1256"/>
              </w:trPr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129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 16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00130+00230+00303+00403+00503+00603+00803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гр.23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541 029,65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rPr>
                <w:trHeight w:val="1256"/>
              </w:trPr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129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 20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00130+00230+00303+00403+00503+00603+00803 гр.25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548 818,76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rPr>
                <w:trHeight w:val="1256"/>
              </w:trPr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расходов по ВР 129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 28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00130+00230+00303+00403+00503+00603+00803 гр.39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15 119,04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  <w:tr w:rsidR="00321538">
              <w:trPr>
                <w:trHeight w:val="1256"/>
              </w:trPr>
              <w:tc>
                <w:tcPr>
                  <w:tcW w:w="16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Сумма расходов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ВР 129</w:t>
                  </w:r>
                </w:p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гр. 30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ind w:right="1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 строк 00130+00230+00303+00403+00503+00603+00803 гр.43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533 699,72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1538" w:rsidRDefault="00CB143A">
                  <w:pPr>
                    <w:spacing w:before="24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-«-</w:t>
                  </w:r>
                </w:p>
              </w:tc>
            </w:tr>
          </w:tbl>
          <w:p w:rsidR="00321538" w:rsidRDefault="0032153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</w:tr>
    </w:tbl>
    <w:p w:rsidR="00321538" w:rsidRDefault="00CB143A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 Прочие вопросы деятельности</w:t>
      </w:r>
    </w:p>
    <w:p w:rsidR="00321538" w:rsidRDefault="00CB143A">
      <w:pPr>
        <w:spacing w:before="240" w:after="240"/>
        <w:jc w:val="center"/>
        <w:rPr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Бюджетный учет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в соответствии с Приказом Минфина России от 01.12.2010г.№157н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внебюджетными фондами, государственных академий наук, государственных (муниципальных) учреждений и инструкции по его применению",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Минфина России от 06.12.2010г.№162н "Об утверждении плана счетов и Инструкции по его применению", 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Приказом 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«О бухгалтерском учете» от 06.12.2011г. №402.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обработке бухгалтерских документов проводится внутренний контроль: за соответствием заключенных договоров объемам ассигнований и лимитам бюджетных обязательств, проверка соответствия денежных средств на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ицевых счетах в ОФК остаткам, выделенным в регистрах бухгалтерского учета (по мере поступления выписок из лицевых счетов ОФК), соблюдение кассовой дисциплины и др. 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бюджетной отчетности не включены формы, не имеющие числовых значений: форма 050337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«Сведения о государственном (муниципальном) долге, предоставленных бюджетных кредитах».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Псковского района                 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Ю.Г.Малькова</w:t>
      </w:r>
      <w:proofErr w:type="spellEnd"/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отдела бухгалтерского 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отчетности                                              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И.Н.Троякова</w:t>
      </w:r>
      <w:proofErr w:type="spellEnd"/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 февраля 2022г.</w:t>
      </w:r>
    </w:p>
    <w:p w:rsidR="00321538" w:rsidRDefault="00CB143A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321538">
      <w:pPr>
        <w:spacing w:before="240" w:after="240"/>
        <w:rPr>
          <w:color w:val="000000"/>
        </w:rPr>
      </w:pPr>
    </w:p>
    <w:tbl>
      <w:tblPr>
        <w:tblW w:w="0" w:type="auto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053"/>
        <w:gridCol w:w="2267"/>
      </w:tblGrid>
      <w:tr w:rsidR="003215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1538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321538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планово-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1538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321538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15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1538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321538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"____"   ____________ 20____г.</w:t>
            </w:r>
          </w:p>
        </w:tc>
      </w:tr>
    </w:tbl>
    <w:p w:rsidR="00321538" w:rsidRDefault="00CB143A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321538" w:rsidRDefault="00CB143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1538" w:rsidRDefault="00321538"/>
    <w:p w:rsidR="00321538" w:rsidRDefault="00CB143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1538" w:rsidRDefault="00CB143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6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08"/>
        <w:gridCol w:w="3114"/>
      </w:tblGrid>
      <w:tr w:rsidR="00321538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u w:val="single"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321538"/>
        </w:tc>
      </w:tr>
      <w:tr w:rsidR="00321538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321538">
            <w:pPr>
              <w:rPr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321538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1538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321538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321538">
            <w:pPr>
              <w:rPr>
                <w:sz w:val="24"/>
              </w:rPr>
            </w:pPr>
          </w:p>
        </w:tc>
      </w:tr>
      <w:tr w:rsidR="00321538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службы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321538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321538">
            <w:pPr>
              <w:rPr>
                <w:sz w:val="24"/>
              </w:rPr>
            </w:pPr>
          </w:p>
        </w:tc>
      </w:tr>
      <w:tr w:rsidR="00321538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ind w:left="-139" w:right="-288" w:firstLine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u w:val="single"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1538" w:rsidRDefault="00321538">
            <w:pPr>
              <w:rPr>
                <w:sz w:val="24"/>
              </w:rPr>
            </w:pPr>
          </w:p>
        </w:tc>
      </w:tr>
      <w:tr w:rsidR="00321538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321538">
        <w:trPr>
          <w:trHeight w:val="449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CB14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«____»______20____г.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321538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538" w:rsidRDefault="00321538">
            <w:pPr>
              <w:rPr>
                <w:sz w:val="24"/>
              </w:rPr>
            </w:pPr>
          </w:p>
        </w:tc>
      </w:tr>
    </w:tbl>
    <w:p w:rsidR="00321538" w:rsidRDefault="00CB143A"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05.03.2024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Федорова Наталья Анатольевна, Сертификат: 36B3248320921077F791426364244000, Действителен: с 06.02.2023 по 01.05.2024),Главный бухгалтер(Троякова Ирина Николаевна, Сертификат: 0088CA697591BD935D4291F80FAA043B3C, Действителен: с 18.05.2023 по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.08.2024)        </w:t>
      </w:r>
    </w:p>
    <w:sectPr w:rsidR="00321538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38"/>
    <w:rsid w:val="00321538"/>
    <w:rsid w:val="00C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6327</Words>
  <Characters>36068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</dc:creator>
  <cp:lastModifiedBy>User115</cp:lastModifiedBy>
  <cp:revision>2</cp:revision>
  <dcterms:created xsi:type="dcterms:W3CDTF">2024-04-10T07:00:00Z</dcterms:created>
  <dcterms:modified xsi:type="dcterms:W3CDTF">2024-04-10T07:00:00Z</dcterms:modified>
</cp:coreProperties>
</file>